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2C55" w14:textId="77777777" w:rsidR="00C327B7" w:rsidRDefault="00C327B7" w:rsidP="00C327B7">
      <w:pPr>
        <w:spacing w:after="0"/>
        <w:jc w:val="center"/>
        <w:rPr>
          <w:rFonts w:ascii="Times New Roman" w:hAnsi="Times New Roman" w:cs="Times New Roman"/>
          <w:b/>
          <w:sz w:val="32"/>
        </w:rPr>
      </w:pPr>
    </w:p>
    <w:p w14:paraId="6548798A" w14:textId="4A1E6C57" w:rsidR="00B80B2C" w:rsidRPr="00B80B2C" w:rsidRDefault="000312C7" w:rsidP="00B80B2C">
      <w:pPr>
        <w:jc w:val="center"/>
        <w:rPr>
          <w:rFonts w:ascii="Times New Roman" w:hAnsi="Times New Roman" w:cs="Times New Roman"/>
          <w:b/>
          <w:color w:val="FF0000"/>
          <w:sz w:val="32"/>
        </w:rPr>
      </w:pPr>
      <w:r w:rsidRPr="000312C7">
        <w:rPr>
          <w:rFonts w:ascii="Times New Roman" w:hAnsi="Times New Roman" w:cs="Times New Roman"/>
          <w:b/>
          <w:sz w:val="32"/>
        </w:rPr>
        <w:t>Electrical and Mechanical Load Design for Induction Motors</w:t>
      </w:r>
    </w:p>
    <w:p w14:paraId="5D980856" w14:textId="7326B836" w:rsidR="00B80B2C" w:rsidRPr="009B1D27" w:rsidRDefault="00B45D6E" w:rsidP="009B1D27">
      <w:pPr>
        <w:jc w:val="center"/>
        <w:rPr>
          <w:rFonts w:ascii="Times New Roman" w:hAnsi="Times New Roman" w:cs="Times New Roman"/>
          <w:szCs w:val="20"/>
          <w:vertAlign w:val="superscript"/>
        </w:rPr>
      </w:pPr>
      <w:r>
        <w:rPr>
          <w:rFonts w:ascii="Times New Roman" w:hAnsi="Times New Roman" w:cs="Times New Roman"/>
          <w:szCs w:val="20"/>
        </w:rPr>
        <w:t>Hakan TERZİOĞLU</w:t>
      </w:r>
      <w:r w:rsidR="005B5464" w:rsidRPr="005B5464">
        <w:rPr>
          <w:rFonts w:ascii="Times New Roman" w:hAnsi="Times New Roman" w:cs="Times New Roman"/>
          <w:szCs w:val="20"/>
          <w:vertAlign w:val="superscript"/>
        </w:rPr>
        <w:t>1</w:t>
      </w:r>
      <w:r w:rsidR="00B80B2C" w:rsidRPr="00CC2C38">
        <w:rPr>
          <w:rFonts w:ascii="Times New Roman" w:hAnsi="Times New Roman" w:cs="Times New Roman"/>
          <w:szCs w:val="20"/>
          <w:vertAlign w:val="superscript"/>
        </w:rPr>
        <w:t>*</w:t>
      </w:r>
      <w:r w:rsidR="00B80B2C" w:rsidRPr="00CC2C38">
        <w:rPr>
          <w:rFonts w:ascii="Times New Roman" w:hAnsi="Times New Roman" w:cs="Times New Roman"/>
          <w:szCs w:val="20"/>
        </w:rPr>
        <w:t xml:space="preserve">, </w:t>
      </w:r>
      <w:r>
        <w:rPr>
          <w:rFonts w:ascii="Times New Roman" w:hAnsi="Times New Roman" w:cs="Times New Roman"/>
          <w:szCs w:val="20"/>
        </w:rPr>
        <w:t>Abdullah Cem AĞAÇAYAK</w:t>
      </w:r>
      <w:r w:rsidR="00B80B2C" w:rsidRPr="00CC2C38">
        <w:rPr>
          <w:rFonts w:ascii="Times New Roman" w:hAnsi="Times New Roman" w:cs="Times New Roman"/>
          <w:szCs w:val="20"/>
          <w:vertAlign w:val="superscript"/>
        </w:rPr>
        <w:t>2</w:t>
      </w:r>
    </w:p>
    <w:p w14:paraId="2C84AE13" w14:textId="77777777" w:rsidR="00B80B2C" w:rsidRPr="00C66488" w:rsidRDefault="00B80B2C" w:rsidP="00B80B2C">
      <w:pPr>
        <w:spacing w:after="0" w:line="240" w:lineRule="auto"/>
        <w:jc w:val="both"/>
        <w:rPr>
          <w:rFonts w:ascii="Times New Roman" w:hAnsi="Times New Roman" w:cs="Times New Roman"/>
          <w:b/>
          <w:i/>
        </w:rPr>
      </w:pPr>
    </w:p>
    <w:p w14:paraId="7916D8C7" w14:textId="581F33F7" w:rsidR="00B80B2C" w:rsidRPr="00C66488" w:rsidRDefault="00B80B2C" w:rsidP="00374E34">
      <w:pPr>
        <w:spacing w:after="0" w:line="240" w:lineRule="auto"/>
        <w:ind w:left="567" w:right="567"/>
        <w:jc w:val="both"/>
        <w:rPr>
          <w:rFonts w:ascii="Times New Roman" w:hAnsi="Times New Roman" w:cs="Times New Roman"/>
        </w:rPr>
      </w:pPr>
      <w:r w:rsidRPr="00CC2C38">
        <w:rPr>
          <w:rFonts w:ascii="Times New Roman" w:hAnsi="Times New Roman" w:cs="Times New Roman"/>
          <w:b/>
          <w:i/>
          <w:sz w:val="20"/>
          <w:szCs w:val="18"/>
        </w:rPr>
        <w:t>Abstract –</w:t>
      </w:r>
      <w:r w:rsidR="003B3647">
        <w:rPr>
          <w:rFonts w:ascii="Times New Roman" w:hAnsi="Times New Roman" w:cs="Times New Roman"/>
          <w:b/>
          <w:i/>
          <w:sz w:val="20"/>
          <w:szCs w:val="18"/>
        </w:rPr>
        <w:t xml:space="preserve"> </w:t>
      </w:r>
      <w:r w:rsidR="000312C7" w:rsidRPr="000312C7">
        <w:rPr>
          <w:rFonts w:ascii="Times New Roman" w:hAnsi="Times New Roman" w:cs="Times New Roman"/>
          <w:sz w:val="20"/>
          <w:szCs w:val="18"/>
        </w:rPr>
        <w:t xml:space="preserve">This paper is concerned with the modeling of motor loads in induction motors in response to the inability of general dynamic load models (GDLM) in their current form to capture the characteristics of induction motors. </w:t>
      </w:r>
      <w:proofErr w:type="gramStart"/>
      <w:r w:rsidR="000312C7" w:rsidRPr="000312C7">
        <w:rPr>
          <w:rFonts w:ascii="Times New Roman" w:hAnsi="Times New Roman" w:cs="Times New Roman"/>
          <w:sz w:val="20"/>
          <w:szCs w:val="18"/>
        </w:rPr>
        <w:t>In order to</w:t>
      </w:r>
      <w:proofErr w:type="gramEnd"/>
      <w:r w:rsidR="000312C7" w:rsidRPr="000312C7">
        <w:rPr>
          <w:rFonts w:ascii="Times New Roman" w:hAnsi="Times New Roman" w:cs="Times New Roman"/>
          <w:sz w:val="20"/>
          <w:szCs w:val="18"/>
        </w:rPr>
        <w:t xml:space="preserve"> fully analyze the response of induction motors to the inductive and mechanical loads to which they are subjected in industry, a simple mechanical load model is developed along with the inductive load. The aim of the study is to realize a cheaper mechanical load design by avoiding the high cost of inductive loads required to load the motor as the motor power increases. In addition, despite the GDLM, the proposed induction motor load models are developed to capture the dynamics represented by the proposed induction motor load models. The suitability of the proposed dynamic load model for analyzing the transient and steady state stability of induction motor loads is evaluated. With this load model, the importance of load analysis is demonstrated by revealing the rate of change of induction motor parameters with load.</w:t>
      </w:r>
    </w:p>
    <w:p w14:paraId="7C874E3D" w14:textId="77777777" w:rsidR="00B80B2C" w:rsidRPr="00B80B2C" w:rsidRDefault="00B80B2C" w:rsidP="00B80B2C">
      <w:pPr>
        <w:spacing w:after="0"/>
        <w:jc w:val="both"/>
        <w:rPr>
          <w:rFonts w:ascii="Times New Roman" w:hAnsi="Times New Roman" w:cs="Times New Roman"/>
        </w:rPr>
      </w:pPr>
    </w:p>
    <w:p w14:paraId="6DD1756A" w14:textId="31F1C3EE" w:rsidR="00212D0B" w:rsidRPr="00480AED" w:rsidRDefault="00B80B2C" w:rsidP="00E547B8">
      <w:pPr>
        <w:pBdr>
          <w:bottom w:val="single" w:sz="4" w:space="1" w:color="auto"/>
        </w:pBdr>
        <w:spacing w:after="0"/>
        <w:rPr>
          <w:rFonts w:ascii="Times New Roman" w:hAnsi="Times New Roman" w:cs="Times New Roman"/>
          <w:sz w:val="18"/>
          <w:szCs w:val="20"/>
        </w:rPr>
      </w:pPr>
      <w:r w:rsidRPr="00480AED">
        <w:rPr>
          <w:rFonts w:ascii="Times New Roman" w:hAnsi="Times New Roman" w:cs="Times New Roman"/>
          <w:i/>
          <w:sz w:val="18"/>
          <w:szCs w:val="20"/>
        </w:rPr>
        <w:t>Keywords –</w:t>
      </w:r>
      <w:r w:rsidRPr="00480AED">
        <w:rPr>
          <w:rFonts w:ascii="Times New Roman" w:hAnsi="Times New Roman" w:cs="Times New Roman"/>
          <w:sz w:val="18"/>
          <w:szCs w:val="20"/>
        </w:rPr>
        <w:t xml:space="preserve"> </w:t>
      </w:r>
      <w:r w:rsidR="000312C7" w:rsidRPr="000312C7">
        <w:rPr>
          <w:rFonts w:ascii="Times New Roman" w:hAnsi="Times New Roman" w:cs="Times New Roman"/>
          <w:sz w:val="18"/>
          <w:szCs w:val="20"/>
        </w:rPr>
        <w:t>Equivalent Electric Circuit; Squirrel Cage Induction Motor; Induction Motor Modelling; Loading of Induction Motor</w:t>
      </w:r>
    </w:p>
    <w:p w14:paraId="17925C12" w14:textId="77777777" w:rsidR="00B80B2C" w:rsidRPr="00B80B2C" w:rsidRDefault="00B80B2C" w:rsidP="00B80B2C">
      <w:pPr>
        <w:spacing w:after="0"/>
        <w:rPr>
          <w:rFonts w:ascii="Times New Roman" w:hAnsi="Times New Roman" w:cs="Times New Roman"/>
          <w:sz w:val="20"/>
        </w:rPr>
      </w:pPr>
    </w:p>
    <w:p w14:paraId="64E2DC0E" w14:textId="77777777" w:rsidR="007F7949" w:rsidRDefault="007F7949" w:rsidP="00B80B2C">
      <w:pPr>
        <w:rPr>
          <w:rFonts w:ascii="Times New Roman" w:hAnsi="Times New Roman" w:cs="Times New Roman"/>
        </w:rPr>
        <w:sectPr w:rsidR="007F7949" w:rsidSect="009B1D27">
          <w:headerReference w:type="even" r:id="rId7"/>
          <w:headerReference w:type="default" r:id="rId8"/>
          <w:footerReference w:type="even" r:id="rId9"/>
          <w:footerReference w:type="default" r:id="rId10"/>
          <w:headerReference w:type="first" r:id="rId11"/>
          <w:footerReference w:type="first" r:id="rId12"/>
          <w:pgSz w:w="11907" w:h="16840" w:code="9"/>
          <w:pgMar w:top="1373" w:right="851" w:bottom="851" w:left="851" w:header="709" w:footer="709" w:gutter="0"/>
          <w:cols w:space="708"/>
          <w:titlePg/>
          <w:docGrid w:linePitch="360"/>
        </w:sectPr>
      </w:pPr>
    </w:p>
    <w:p w14:paraId="0DA1D195" w14:textId="41B4A4FA" w:rsidR="00413EA1" w:rsidRPr="00413EA1" w:rsidRDefault="00413EA1" w:rsidP="00413EA1">
      <w:pPr>
        <w:pStyle w:val="IEEEParagraph"/>
        <w:ind w:firstLine="170"/>
        <w:rPr>
          <w:sz w:val="22"/>
          <w:szCs w:val="22"/>
        </w:rPr>
      </w:pPr>
    </w:p>
    <w:p w14:paraId="017CA035" w14:textId="77777777" w:rsidR="004C090F" w:rsidRDefault="004C090F" w:rsidP="003B3647">
      <w:pPr>
        <w:pStyle w:val="IEEEHeading1"/>
        <w:numPr>
          <w:ilvl w:val="0"/>
          <w:numId w:val="0"/>
        </w:numPr>
        <w:ind w:firstLine="170"/>
        <w:jc w:val="left"/>
        <w:rPr>
          <w:sz w:val="24"/>
        </w:rPr>
      </w:pPr>
      <w:r w:rsidRPr="00C66488">
        <w:rPr>
          <w:sz w:val="24"/>
        </w:rPr>
        <w:t>References</w:t>
      </w:r>
    </w:p>
    <w:p w14:paraId="15FA59DA" w14:textId="77777777" w:rsidR="009E553F" w:rsidRPr="009E553F" w:rsidRDefault="009E553F" w:rsidP="009E553F">
      <w:pPr>
        <w:pStyle w:val="IEEEReferenceItem"/>
        <w:rPr>
          <w:sz w:val="20"/>
        </w:rPr>
      </w:pPr>
      <w:r w:rsidRPr="009E553F">
        <w:rPr>
          <w:sz w:val="20"/>
        </w:rPr>
        <w:t>Taylor CW. Concepts of undervoltage load shedding for voltage stability. IEEE Trans Power Del 1992;2(7):480–8.</w:t>
      </w:r>
    </w:p>
    <w:p w14:paraId="4055AA61" w14:textId="77777777" w:rsidR="009E553F" w:rsidRPr="009E553F" w:rsidRDefault="009E553F" w:rsidP="009E553F">
      <w:pPr>
        <w:pStyle w:val="IEEEReferenceItem"/>
        <w:rPr>
          <w:sz w:val="20"/>
        </w:rPr>
      </w:pPr>
      <w:r w:rsidRPr="009E553F">
        <w:rPr>
          <w:sz w:val="20"/>
        </w:rPr>
        <w:t>Berg GJ. Power system load representation. Proc IEE 1973;120: 344–8.</w:t>
      </w:r>
    </w:p>
    <w:p w14:paraId="31762F32" w14:textId="77777777" w:rsidR="009E553F" w:rsidRPr="009E553F" w:rsidRDefault="009E553F" w:rsidP="009E553F">
      <w:pPr>
        <w:pStyle w:val="IEEEReferenceItem"/>
        <w:rPr>
          <w:sz w:val="20"/>
        </w:rPr>
      </w:pPr>
      <w:r w:rsidRPr="009E553F">
        <w:rPr>
          <w:sz w:val="20"/>
        </w:rPr>
        <w:t xml:space="preserve">Ohyama T, et al. Voltage dependence of composite loads in power systems. IEEE Trans Power Appar Syst </w:t>
      </w:r>
      <w:proofErr w:type="gramStart"/>
      <w:r w:rsidRPr="009E553F">
        <w:rPr>
          <w:sz w:val="20"/>
        </w:rPr>
        <w:t>1985;PAS</w:t>
      </w:r>
      <w:proofErr w:type="gramEnd"/>
      <w:r w:rsidRPr="009E553F">
        <w:rPr>
          <w:sz w:val="20"/>
        </w:rPr>
        <w:t>-104:3064–73.</w:t>
      </w:r>
    </w:p>
    <w:p w14:paraId="1DFD507B" w14:textId="77777777" w:rsidR="009E553F" w:rsidRPr="009E553F" w:rsidRDefault="009E553F" w:rsidP="009E553F">
      <w:pPr>
        <w:pStyle w:val="IEEEReferenceItem"/>
        <w:rPr>
          <w:sz w:val="20"/>
        </w:rPr>
      </w:pPr>
      <w:r w:rsidRPr="009E553F">
        <w:rPr>
          <w:sz w:val="20"/>
        </w:rPr>
        <w:t xml:space="preserve">Sekine T, </w:t>
      </w:r>
      <w:proofErr w:type="spellStart"/>
      <w:r w:rsidRPr="009E553F">
        <w:rPr>
          <w:sz w:val="20"/>
        </w:rPr>
        <w:t>Ohtsuki</w:t>
      </w:r>
      <w:proofErr w:type="spellEnd"/>
      <w:r w:rsidRPr="009E553F">
        <w:rPr>
          <w:sz w:val="20"/>
        </w:rPr>
        <w:t xml:space="preserve"> H. Cascaded voltage collapse. IEEE Trans Power Syst 1990;1(5):250–6.</w:t>
      </w:r>
    </w:p>
    <w:p w14:paraId="1A0544D2" w14:textId="77777777" w:rsidR="009E553F" w:rsidRPr="009E553F" w:rsidRDefault="009E553F" w:rsidP="009E553F">
      <w:pPr>
        <w:pStyle w:val="IEEEReferenceItem"/>
        <w:rPr>
          <w:sz w:val="20"/>
        </w:rPr>
      </w:pPr>
      <w:r w:rsidRPr="009E553F">
        <w:rPr>
          <w:sz w:val="20"/>
        </w:rPr>
        <w:t>Taylor CW. Power system voltage stability. New York: McGraw- Hill, 1994.</w:t>
      </w:r>
    </w:p>
    <w:p w14:paraId="572DE05D" w14:textId="77777777" w:rsidR="009E553F" w:rsidRPr="009E553F" w:rsidRDefault="009E553F" w:rsidP="009E553F">
      <w:pPr>
        <w:pStyle w:val="IEEEReferenceItem"/>
        <w:rPr>
          <w:sz w:val="20"/>
        </w:rPr>
      </w:pPr>
      <w:r w:rsidRPr="009E553F">
        <w:rPr>
          <w:sz w:val="20"/>
        </w:rPr>
        <w:t>Hill DJ. Nonlinear dynamic load models with recovery for voltage stability studies. IEEE Trans Power Syst 1993;1(8):166–76.</w:t>
      </w:r>
    </w:p>
    <w:p w14:paraId="160532D8" w14:textId="77777777" w:rsidR="009E553F" w:rsidRPr="009E553F" w:rsidRDefault="009E553F" w:rsidP="009E553F">
      <w:pPr>
        <w:pStyle w:val="IEEEReferenceItem"/>
        <w:rPr>
          <w:sz w:val="20"/>
        </w:rPr>
      </w:pPr>
      <w:r w:rsidRPr="009E553F">
        <w:rPr>
          <w:sz w:val="20"/>
        </w:rPr>
        <w:t>Xu W, Mansour Y. Voltage stability analysis using generic dynamic load models. IEEE Trans Power Syst 1994;1(9):479–93.</w:t>
      </w:r>
    </w:p>
    <w:p w14:paraId="607C40E3" w14:textId="77777777" w:rsidR="009E553F" w:rsidRPr="009E553F" w:rsidRDefault="009E553F" w:rsidP="009E553F">
      <w:pPr>
        <w:pStyle w:val="IEEEReferenceItem"/>
        <w:rPr>
          <w:sz w:val="20"/>
        </w:rPr>
      </w:pPr>
      <w:proofErr w:type="spellStart"/>
      <w:r w:rsidRPr="009E553F">
        <w:rPr>
          <w:sz w:val="20"/>
        </w:rPr>
        <w:t>Borghetti</w:t>
      </w:r>
      <w:proofErr w:type="spellEnd"/>
      <w:r w:rsidRPr="009E553F">
        <w:rPr>
          <w:sz w:val="20"/>
        </w:rPr>
        <w:t xml:space="preserve"> A, Caldon R, Mari A, Nucci CA. On dynamic load models for voltage stability studies. IEEE Trans Power Syst 1997;1(12):293– 303.</w:t>
      </w:r>
    </w:p>
    <w:p w14:paraId="19D23C0E" w14:textId="77777777" w:rsidR="009E553F" w:rsidRPr="009E553F" w:rsidRDefault="009E553F" w:rsidP="009E553F">
      <w:pPr>
        <w:pStyle w:val="IEEEReferenceItem"/>
        <w:rPr>
          <w:sz w:val="20"/>
        </w:rPr>
      </w:pPr>
      <w:r w:rsidRPr="00D230AA">
        <w:rPr>
          <w:sz w:val="20"/>
          <w:lang w:val="pl-PL"/>
        </w:rPr>
        <w:t xml:space="preserve">Prasad GD, AI-Mulhim MA. </w:t>
      </w:r>
      <w:r w:rsidRPr="009E553F">
        <w:rPr>
          <w:sz w:val="20"/>
        </w:rPr>
        <w:t xml:space="preserve">Performance evaluation of dynamic load models for voltage stability analysis. Int J </w:t>
      </w:r>
      <w:proofErr w:type="spellStart"/>
      <w:r w:rsidRPr="009E553F">
        <w:rPr>
          <w:sz w:val="20"/>
        </w:rPr>
        <w:t>Electr</w:t>
      </w:r>
      <w:proofErr w:type="spellEnd"/>
      <w:r w:rsidRPr="009E553F">
        <w:rPr>
          <w:sz w:val="20"/>
        </w:rPr>
        <w:t xml:space="preserve"> Power Energy Syst 1997;8(19):533–40.</w:t>
      </w:r>
    </w:p>
    <w:p w14:paraId="315694AB" w14:textId="77777777" w:rsidR="009E553F" w:rsidRPr="009E553F" w:rsidRDefault="009E553F" w:rsidP="009E553F">
      <w:pPr>
        <w:pStyle w:val="IEEEReferenceItem"/>
        <w:rPr>
          <w:sz w:val="20"/>
        </w:rPr>
      </w:pPr>
      <w:proofErr w:type="spellStart"/>
      <w:r w:rsidRPr="009E553F">
        <w:rPr>
          <w:sz w:val="20"/>
        </w:rPr>
        <w:t>Balanathan</w:t>
      </w:r>
      <w:proofErr w:type="spellEnd"/>
      <w:r w:rsidRPr="009E553F">
        <w:rPr>
          <w:sz w:val="20"/>
        </w:rPr>
        <w:t xml:space="preserve"> R, </w:t>
      </w:r>
      <w:proofErr w:type="spellStart"/>
      <w:r w:rsidRPr="009E553F">
        <w:rPr>
          <w:sz w:val="20"/>
        </w:rPr>
        <w:t>Pahalawaththa</w:t>
      </w:r>
      <w:proofErr w:type="spellEnd"/>
      <w:r w:rsidRPr="009E553F">
        <w:rPr>
          <w:sz w:val="20"/>
        </w:rPr>
        <w:t xml:space="preserve"> NC, </w:t>
      </w:r>
      <w:proofErr w:type="spellStart"/>
      <w:r w:rsidRPr="009E553F">
        <w:rPr>
          <w:sz w:val="20"/>
        </w:rPr>
        <w:t>Annakkage</w:t>
      </w:r>
      <w:proofErr w:type="spellEnd"/>
      <w:r w:rsidRPr="009E553F">
        <w:rPr>
          <w:sz w:val="20"/>
        </w:rPr>
        <w:t xml:space="preserve"> UD. Undervoltage load shedding for induction motor dominant loads considering P, Q coupling. IEE Proc Gener Transm </w:t>
      </w:r>
      <w:proofErr w:type="spellStart"/>
      <w:r w:rsidRPr="009E553F">
        <w:rPr>
          <w:sz w:val="20"/>
        </w:rPr>
        <w:t>Distrib</w:t>
      </w:r>
      <w:proofErr w:type="spellEnd"/>
      <w:r w:rsidRPr="009E553F">
        <w:rPr>
          <w:sz w:val="20"/>
        </w:rPr>
        <w:t xml:space="preserve"> 1999;146(4):337–42.</w:t>
      </w:r>
    </w:p>
    <w:p w14:paraId="619224B5" w14:textId="77777777" w:rsidR="009E553F" w:rsidRPr="009E553F" w:rsidRDefault="009E553F" w:rsidP="009E553F">
      <w:pPr>
        <w:pStyle w:val="IEEEReferenceItem"/>
        <w:rPr>
          <w:sz w:val="20"/>
        </w:rPr>
      </w:pPr>
      <w:proofErr w:type="spellStart"/>
      <w:r w:rsidRPr="009E553F">
        <w:rPr>
          <w:sz w:val="20"/>
        </w:rPr>
        <w:t>Kundur</w:t>
      </w:r>
      <w:proofErr w:type="spellEnd"/>
      <w:r w:rsidRPr="009E553F">
        <w:rPr>
          <w:sz w:val="20"/>
        </w:rPr>
        <w:t xml:space="preserve"> P. Power system stability and control. New York: McGraw- Hill, 1994.</w:t>
      </w:r>
    </w:p>
    <w:p w14:paraId="3E97239F" w14:textId="77777777" w:rsidR="009E553F" w:rsidRPr="009E553F" w:rsidRDefault="009E553F" w:rsidP="009E553F">
      <w:pPr>
        <w:pStyle w:val="IEEEReferenceItem"/>
        <w:rPr>
          <w:sz w:val="20"/>
        </w:rPr>
      </w:pPr>
      <w:r w:rsidRPr="009E553F">
        <w:rPr>
          <w:sz w:val="20"/>
        </w:rPr>
        <w:t xml:space="preserve">Stanley HC. An analysis of the induction motor. AIEE Trans </w:t>
      </w:r>
      <w:proofErr w:type="gramStart"/>
      <w:r w:rsidRPr="009E553F">
        <w:rPr>
          <w:sz w:val="20"/>
        </w:rPr>
        <w:t>1938;57:751</w:t>
      </w:r>
      <w:proofErr w:type="gramEnd"/>
      <w:r w:rsidRPr="009E553F">
        <w:rPr>
          <w:sz w:val="20"/>
        </w:rPr>
        <w:t>–5.</w:t>
      </w:r>
    </w:p>
    <w:p w14:paraId="473E6BDE" w14:textId="77777777" w:rsidR="009E553F" w:rsidRPr="009E553F" w:rsidRDefault="009E553F" w:rsidP="009E553F">
      <w:pPr>
        <w:pStyle w:val="IEEEReferenceItem"/>
        <w:rPr>
          <w:sz w:val="20"/>
        </w:rPr>
      </w:pPr>
      <w:r w:rsidRPr="009E553F">
        <w:rPr>
          <w:sz w:val="20"/>
        </w:rPr>
        <w:t xml:space="preserve">Işık, F. 2000. Taguchi </w:t>
      </w:r>
      <w:proofErr w:type="spellStart"/>
      <w:r w:rsidRPr="009E553F">
        <w:rPr>
          <w:sz w:val="20"/>
        </w:rPr>
        <w:t>Metodu</w:t>
      </w:r>
      <w:proofErr w:type="spellEnd"/>
      <w:r w:rsidRPr="009E553F">
        <w:rPr>
          <w:sz w:val="20"/>
        </w:rPr>
        <w:t xml:space="preserve"> </w:t>
      </w:r>
      <w:proofErr w:type="spellStart"/>
      <w:r w:rsidRPr="009E553F">
        <w:rPr>
          <w:sz w:val="20"/>
        </w:rPr>
        <w:t>ve</w:t>
      </w:r>
      <w:proofErr w:type="spellEnd"/>
      <w:r w:rsidRPr="009E553F">
        <w:rPr>
          <w:sz w:val="20"/>
        </w:rPr>
        <w:t xml:space="preserve"> Bir </w:t>
      </w:r>
      <w:proofErr w:type="spellStart"/>
      <w:r w:rsidRPr="009E553F">
        <w:rPr>
          <w:sz w:val="20"/>
        </w:rPr>
        <w:t>Uygulama</w:t>
      </w:r>
      <w:proofErr w:type="spellEnd"/>
      <w:r w:rsidRPr="009E553F">
        <w:rPr>
          <w:sz w:val="20"/>
        </w:rPr>
        <w:t xml:space="preserve">, Yüksek </w:t>
      </w:r>
      <w:proofErr w:type="spellStart"/>
      <w:r w:rsidRPr="009E553F">
        <w:rPr>
          <w:sz w:val="20"/>
        </w:rPr>
        <w:t>Lisans</w:t>
      </w:r>
      <w:proofErr w:type="spellEnd"/>
      <w:r w:rsidRPr="009E553F">
        <w:rPr>
          <w:sz w:val="20"/>
        </w:rPr>
        <w:t xml:space="preserve"> </w:t>
      </w:r>
      <w:proofErr w:type="spellStart"/>
      <w:r w:rsidRPr="009E553F">
        <w:rPr>
          <w:sz w:val="20"/>
        </w:rPr>
        <w:t>Tezi</w:t>
      </w:r>
      <w:proofErr w:type="spellEnd"/>
      <w:r w:rsidRPr="009E553F">
        <w:rPr>
          <w:sz w:val="20"/>
        </w:rPr>
        <w:t xml:space="preserve">, İstanbul </w:t>
      </w:r>
      <w:proofErr w:type="spellStart"/>
      <w:r w:rsidRPr="009E553F">
        <w:rPr>
          <w:sz w:val="20"/>
        </w:rPr>
        <w:t>Üniversitesi</w:t>
      </w:r>
      <w:proofErr w:type="spellEnd"/>
      <w:r w:rsidRPr="009E553F">
        <w:rPr>
          <w:sz w:val="20"/>
        </w:rPr>
        <w:t xml:space="preserve"> </w:t>
      </w:r>
      <w:proofErr w:type="spellStart"/>
      <w:r w:rsidRPr="009E553F">
        <w:rPr>
          <w:sz w:val="20"/>
        </w:rPr>
        <w:t>Sosyal</w:t>
      </w:r>
      <w:proofErr w:type="spellEnd"/>
      <w:r w:rsidRPr="009E553F">
        <w:rPr>
          <w:sz w:val="20"/>
        </w:rPr>
        <w:t xml:space="preserve"> </w:t>
      </w:r>
      <w:proofErr w:type="spellStart"/>
      <w:r w:rsidRPr="009E553F">
        <w:rPr>
          <w:sz w:val="20"/>
        </w:rPr>
        <w:t>Bilimler</w:t>
      </w:r>
      <w:proofErr w:type="spellEnd"/>
      <w:r w:rsidRPr="009E553F">
        <w:rPr>
          <w:sz w:val="20"/>
        </w:rPr>
        <w:t xml:space="preserve"> </w:t>
      </w:r>
      <w:proofErr w:type="spellStart"/>
      <w:r w:rsidRPr="009E553F">
        <w:rPr>
          <w:sz w:val="20"/>
        </w:rPr>
        <w:t>Enstitüsü</w:t>
      </w:r>
      <w:proofErr w:type="spellEnd"/>
      <w:r w:rsidRPr="009E553F">
        <w:rPr>
          <w:sz w:val="20"/>
        </w:rPr>
        <w:t>, İstanbul. 75.</w:t>
      </w:r>
    </w:p>
    <w:p w14:paraId="40BD0D13" w14:textId="77777777" w:rsidR="009E553F" w:rsidRPr="009E553F" w:rsidRDefault="009E553F" w:rsidP="009E553F">
      <w:pPr>
        <w:pStyle w:val="IEEEReferenceItem"/>
        <w:rPr>
          <w:sz w:val="20"/>
        </w:rPr>
      </w:pPr>
      <w:r w:rsidRPr="009E553F">
        <w:rPr>
          <w:sz w:val="20"/>
        </w:rPr>
        <w:t>Taylan, D. (</w:t>
      </w:r>
      <w:proofErr w:type="gramStart"/>
      <w:r w:rsidRPr="009E553F">
        <w:rPr>
          <w:sz w:val="20"/>
        </w:rPr>
        <w:t>2009 )</w:t>
      </w:r>
      <w:proofErr w:type="gramEnd"/>
      <w:r w:rsidRPr="009E553F">
        <w:rPr>
          <w:sz w:val="20"/>
        </w:rPr>
        <w:t xml:space="preserve">. Taguchi Deney </w:t>
      </w:r>
      <w:proofErr w:type="spellStart"/>
      <w:r w:rsidRPr="009E553F">
        <w:rPr>
          <w:sz w:val="20"/>
        </w:rPr>
        <w:t>Tasarımı</w:t>
      </w:r>
      <w:proofErr w:type="spellEnd"/>
      <w:r w:rsidRPr="009E553F">
        <w:rPr>
          <w:sz w:val="20"/>
        </w:rPr>
        <w:t xml:space="preserve"> </w:t>
      </w:r>
      <w:proofErr w:type="spellStart"/>
      <w:r w:rsidRPr="009E553F">
        <w:rPr>
          <w:sz w:val="20"/>
        </w:rPr>
        <w:t>Uygulaması</w:t>
      </w:r>
      <w:proofErr w:type="spellEnd"/>
      <w:r w:rsidRPr="009E553F">
        <w:rPr>
          <w:sz w:val="20"/>
        </w:rPr>
        <w:t xml:space="preserve">, Yüksek </w:t>
      </w:r>
      <w:proofErr w:type="spellStart"/>
      <w:r w:rsidRPr="009E553F">
        <w:rPr>
          <w:sz w:val="20"/>
        </w:rPr>
        <w:t>Lisans</w:t>
      </w:r>
      <w:proofErr w:type="spellEnd"/>
      <w:r w:rsidRPr="009E553F">
        <w:rPr>
          <w:sz w:val="20"/>
        </w:rPr>
        <w:t xml:space="preserve"> </w:t>
      </w:r>
      <w:proofErr w:type="spellStart"/>
      <w:r w:rsidRPr="009E553F">
        <w:rPr>
          <w:sz w:val="20"/>
        </w:rPr>
        <w:t>Tezi</w:t>
      </w:r>
      <w:proofErr w:type="spellEnd"/>
      <w:r w:rsidRPr="009E553F">
        <w:rPr>
          <w:sz w:val="20"/>
        </w:rPr>
        <w:t xml:space="preserve">, Süleyman Demirel </w:t>
      </w:r>
      <w:proofErr w:type="spellStart"/>
      <w:r w:rsidRPr="009E553F">
        <w:rPr>
          <w:sz w:val="20"/>
        </w:rPr>
        <w:t>Üniversitesi</w:t>
      </w:r>
      <w:proofErr w:type="spellEnd"/>
      <w:r w:rsidRPr="009E553F">
        <w:rPr>
          <w:sz w:val="20"/>
        </w:rPr>
        <w:t xml:space="preserve"> Fen </w:t>
      </w:r>
      <w:proofErr w:type="spellStart"/>
      <w:r w:rsidRPr="009E553F">
        <w:rPr>
          <w:sz w:val="20"/>
        </w:rPr>
        <w:t>Bilimleri</w:t>
      </w:r>
      <w:proofErr w:type="spellEnd"/>
      <w:r w:rsidRPr="009E553F">
        <w:rPr>
          <w:sz w:val="20"/>
        </w:rPr>
        <w:t xml:space="preserve"> </w:t>
      </w:r>
      <w:proofErr w:type="spellStart"/>
      <w:r w:rsidRPr="009E553F">
        <w:rPr>
          <w:sz w:val="20"/>
        </w:rPr>
        <w:t>Enstitüsü</w:t>
      </w:r>
      <w:proofErr w:type="spellEnd"/>
      <w:r w:rsidRPr="009E553F">
        <w:rPr>
          <w:sz w:val="20"/>
        </w:rPr>
        <w:t xml:space="preserve">, </w:t>
      </w:r>
      <w:proofErr w:type="spellStart"/>
      <w:r w:rsidRPr="009E553F">
        <w:rPr>
          <w:sz w:val="20"/>
        </w:rPr>
        <w:t>Isparta</w:t>
      </w:r>
      <w:proofErr w:type="spellEnd"/>
      <w:r w:rsidRPr="009E553F">
        <w:rPr>
          <w:sz w:val="20"/>
        </w:rPr>
        <w:t>. 73.</w:t>
      </w:r>
    </w:p>
    <w:p w14:paraId="2FAB5B2F" w14:textId="77777777" w:rsidR="009E553F" w:rsidRPr="009E553F" w:rsidRDefault="009E553F" w:rsidP="009E553F">
      <w:pPr>
        <w:pStyle w:val="IEEEReferenceItem"/>
        <w:rPr>
          <w:sz w:val="20"/>
        </w:rPr>
      </w:pPr>
      <w:r w:rsidRPr="00D230AA">
        <w:rPr>
          <w:sz w:val="20"/>
          <w:lang w:val="pl-PL"/>
        </w:rPr>
        <w:t xml:space="preserve">Taguchi, G., Chowdury, S., Wu, Y., 2005. </w:t>
      </w:r>
      <w:r w:rsidRPr="009E553F">
        <w:rPr>
          <w:sz w:val="20"/>
        </w:rPr>
        <w:t xml:space="preserve">Taguchi’s quality engineering </w:t>
      </w:r>
      <w:proofErr w:type="spellStart"/>
      <w:r w:rsidRPr="009E553F">
        <w:rPr>
          <w:sz w:val="20"/>
        </w:rPr>
        <w:t>hanbook</w:t>
      </w:r>
      <w:proofErr w:type="spellEnd"/>
      <w:r w:rsidRPr="009E553F">
        <w:rPr>
          <w:sz w:val="20"/>
        </w:rPr>
        <w:t>. ASI consulting group, LLC, Livonia, Michigan, ISBN 0-471-41334-8.</w:t>
      </w:r>
    </w:p>
    <w:p w14:paraId="5BD5E646" w14:textId="77777777" w:rsidR="009E553F" w:rsidRPr="009E553F" w:rsidRDefault="009E553F" w:rsidP="009E553F">
      <w:pPr>
        <w:pStyle w:val="IEEEReferenceItem"/>
        <w:rPr>
          <w:sz w:val="20"/>
        </w:rPr>
      </w:pPr>
      <w:proofErr w:type="spellStart"/>
      <w:r w:rsidRPr="009E553F">
        <w:rPr>
          <w:sz w:val="20"/>
        </w:rPr>
        <w:t>Şirvancı</w:t>
      </w:r>
      <w:proofErr w:type="spellEnd"/>
      <w:r w:rsidRPr="009E553F">
        <w:rPr>
          <w:sz w:val="20"/>
        </w:rPr>
        <w:t xml:space="preserve">, M., 1997. </w:t>
      </w:r>
      <w:proofErr w:type="spellStart"/>
      <w:r w:rsidRPr="009E553F">
        <w:rPr>
          <w:sz w:val="20"/>
        </w:rPr>
        <w:t>Kalite</w:t>
      </w:r>
      <w:proofErr w:type="spellEnd"/>
      <w:r w:rsidRPr="009E553F">
        <w:rPr>
          <w:sz w:val="20"/>
        </w:rPr>
        <w:t xml:space="preserve"> </w:t>
      </w:r>
      <w:proofErr w:type="spellStart"/>
      <w:r w:rsidRPr="009E553F">
        <w:rPr>
          <w:sz w:val="20"/>
        </w:rPr>
        <w:t>için</w:t>
      </w:r>
      <w:proofErr w:type="spellEnd"/>
      <w:r w:rsidRPr="009E553F">
        <w:rPr>
          <w:sz w:val="20"/>
        </w:rPr>
        <w:t xml:space="preserve"> </w:t>
      </w:r>
      <w:proofErr w:type="spellStart"/>
      <w:r w:rsidRPr="009E553F">
        <w:rPr>
          <w:sz w:val="20"/>
        </w:rPr>
        <w:t>deney</w:t>
      </w:r>
      <w:proofErr w:type="spellEnd"/>
      <w:r w:rsidRPr="009E553F">
        <w:rPr>
          <w:sz w:val="20"/>
        </w:rPr>
        <w:t xml:space="preserve"> </w:t>
      </w:r>
      <w:proofErr w:type="spellStart"/>
      <w:r w:rsidRPr="009E553F">
        <w:rPr>
          <w:sz w:val="20"/>
        </w:rPr>
        <w:t>tasarımı</w:t>
      </w:r>
      <w:proofErr w:type="spellEnd"/>
      <w:r w:rsidRPr="009E553F">
        <w:rPr>
          <w:sz w:val="20"/>
        </w:rPr>
        <w:t xml:space="preserve">. </w:t>
      </w:r>
      <w:proofErr w:type="spellStart"/>
      <w:r w:rsidRPr="009E553F">
        <w:rPr>
          <w:sz w:val="20"/>
        </w:rPr>
        <w:t>Literatür</w:t>
      </w:r>
      <w:proofErr w:type="spellEnd"/>
      <w:r w:rsidRPr="009E553F">
        <w:rPr>
          <w:sz w:val="20"/>
        </w:rPr>
        <w:t xml:space="preserve"> </w:t>
      </w:r>
      <w:proofErr w:type="spellStart"/>
      <w:r w:rsidRPr="009E553F">
        <w:rPr>
          <w:sz w:val="20"/>
        </w:rPr>
        <w:t>yayınları</w:t>
      </w:r>
      <w:proofErr w:type="spellEnd"/>
      <w:r w:rsidRPr="009E553F">
        <w:rPr>
          <w:sz w:val="20"/>
        </w:rPr>
        <w:t>. İstanbul, 110s.</w:t>
      </w:r>
    </w:p>
    <w:p w14:paraId="37F00138" w14:textId="77777777" w:rsidR="009E553F" w:rsidRPr="009E553F" w:rsidRDefault="009E553F" w:rsidP="009E553F">
      <w:pPr>
        <w:pStyle w:val="IEEEReferenceItem"/>
        <w:rPr>
          <w:sz w:val="20"/>
        </w:rPr>
      </w:pPr>
      <w:r w:rsidRPr="009E553F">
        <w:rPr>
          <w:sz w:val="20"/>
        </w:rPr>
        <w:t xml:space="preserve">E. B. </w:t>
      </w:r>
      <w:proofErr w:type="spellStart"/>
      <w:r w:rsidRPr="009E553F">
        <w:rPr>
          <w:sz w:val="20"/>
        </w:rPr>
        <w:t>Agamloh</w:t>
      </w:r>
      <w:proofErr w:type="spellEnd"/>
      <w:r w:rsidRPr="009E553F">
        <w:rPr>
          <w:sz w:val="20"/>
        </w:rPr>
        <w:t xml:space="preserve">, A. </w:t>
      </w:r>
      <w:proofErr w:type="spellStart"/>
      <w:r w:rsidRPr="009E553F">
        <w:rPr>
          <w:sz w:val="20"/>
        </w:rPr>
        <w:t>Cavagnino</w:t>
      </w:r>
      <w:proofErr w:type="spellEnd"/>
      <w:r w:rsidRPr="009E553F">
        <w:rPr>
          <w:sz w:val="20"/>
        </w:rPr>
        <w:t xml:space="preserve">, and S. Vaschetto, “Accurate determination of induction machine torque and current versus speed characteristics”, IEEE Transactions on Industry Applications, vol. 53, no. 4, pp. 3285–3294, 2017. DOI: 10.1109/TIA.2017.2675984. </w:t>
      </w:r>
    </w:p>
    <w:p w14:paraId="544EFA7F" w14:textId="7B149E16" w:rsidR="007F7949" w:rsidRPr="007F7949" w:rsidRDefault="009E553F" w:rsidP="00177B53">
      <w:pPr>
        <w:pStyle w:val="IEEEReferenceItem"/>
        <w:numPr>
          <w:ilvl w:val="0"/>
          <w:numId w:val="0"/>
        </w:numPr>
        <w:ind w:left="432"/>
      </w:pPr>
      <w:r w:rsidRPr="00177B53">
        <w:rPr>
          <w:sz w:val="20"/>
        </w:rPr>
        <w:t>P. C. Krause and C. H. Thomas, “Simulation of symmetrical induction machinery”, IEEE Transactions on Power Apparatus and Systems, vol. 84, no. 11, pp. 1038–1053, 1965. DOI: 10.1109/TPAS.1965.4766135.</w:t>
      </w:r>
    </w:p>
    <w:p w14:paraId="74ECAA4F" w14:textId="77777777" w:rsidR="007F7949" w:rsidRDefault="007F7949" w:rsidP="00B80B2C">
      <w:pPr>
        <w:rPr>
          <w:rFonts w:ascii="Times New Roman" w:hAnsi="Times New Roman" w:cs="Times New Roman"/>
        </w:rPr>
      </w:pPr>
    </w:p>
    <w:sectPr w:rsidR="007F7949" w:rsidSect="00DB203B">
      <w:headerReference w:type="default" r:id="rId13"/>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7F30" w14:textId="77777777" w:rsidR="00FD460D" w:rsidRDefault="00FD460D" w:rsidP="00B80B2C">
      <w:pPr>
        <w:spacing w:after="0" w:line="240" w:lineRule="auto"/>
      </w:pPr>
      <w:r>
        <w:separator/>
      </w:r>
    </w:p>
  </w:endnote>
  <w:endnote w:type="continuationSeparator" w:id="0">
    <w:p w14:paraId="551AE638" w14:textId="77777777" w:rsidR="00FD460D" w:rsidRDefault="00FD460D"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Caslon Pro">
    <w:altName w:val="Georgia"/>
    <w:panose1 w:val="020B0604020202020204"/>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C411" w14:textId="77777777" w:rsidR="0027387D" w:rsidRDefault="00273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42894"/>
      <w:docPartObj>
        <w:docPartGallery w:val="Page Numbers (Bottom of Page)"/>
        <w:docPartUnique/>
      </w:docPartObj>
    </w:sdtPr>
    <w:sdtContent>
      <w:p w14:paraId="459CAB59" w14:textId="77777777" w:rsidR="007F0B30" w:rsidRDefault="007F0B30">
        <w:pPr>
          <w:pStyle w:val="Footer"/>
          <w:jc w:val="center"/>
        </w:pPr>
        <w:r>
          <w:fldChar w:fldCharType="begin"/>
        </w:r>
        <w:r>
          <w:instrText>PAGE   \* MERGEFORMAT</w:instrText>
        </w:r>
        <w:r>
          <w:fldChar w:fldCharType="separate"/>
        </w:r>
        <w:r w:rsidR="008A21D4">
          <w:rPr>
            <w:noProof/>
          </w:rPr>
          <w:t>2</w:t>
        </w:r>
        <w:r>
          <w:fldChar w:fldCharType="end"/>
        </w:r>
      </w:p>
    </w:sdtContent>
  </w:sdt>
  <w:p w14:paraId="26663C97" w14:textId="77777777" w:rsidR="007F0B30" w:rsidRDefault="007F0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5AA" w14:textId="4B0CD190" w:rsidR="00896B2D" w:rsidRDefault="00896B2D">
    <w:pPr>
      <w:pStyle w:val="Footer"/>
      <w:jc w:val="center"/>
    </w:pPr>
  </w:p>
  <w:p w14:paraId="006AF4C0" w14:textId="2ED859DE" w:rsidR="00E71235" w:rsidRPr="000534B6" w:rsidRDefault="009B1D27" w:rsidP="00E71235">
    <w:pPr>
      <w:pStyle w:val="Footer"/>
      <w:pBdr>
        <w:top w:val="single" w:sz="4" w:space="1" w:color="auto"/>
      </w:pBdr>
      <w:rPr>
        <w:rFonts w:ascii="Times New Roman" w:hAnsi="Times New Roman" w:cs="Times New Roman"/>
        <w:i/>
        <w:sz w:val="18"/>
        <w:szCs w:val="18"/>
      </w:rPr>
    </w:pPr>
    <w:r w:rsidRPr="000534B6">
      <w:rPr>
        <w:rFonts w:ascii="Times New Roman" w:hAnsi="Times New Roman" w:cs="Times New Roman"/>
        <w:sz w:val="18"/>
        <w:szCs w:val="18"/>
      </w:rPr>
      <w:t xml:space="preserve">* Corresponding author. E-mail address: </w:t>
    </w:r>
    <w:hyperlink r:id="rId1" w:history="1">
      <w:r w:rsidRPr="000534B6">
        <w:rPr>
          <w:rStyle w:val="Hyperlink"/>
          <w:rFonts w:ascii="Times New Roman" w:hAnsi="Times New Roman" w:cs="Times New Roman"/>
          <w:i/>
          <w:sz w:val="18"/>
          <w:szCs w:val="18"/>
        </w:rPr>
        <w:t>hterzioglu@selcuk.edu.tr</w:t>
      </w:r>
    </w:hyperlink>
  </w:p>
  <w:p w14:paraId="2DE883D0" w14:textId="29EE08B5" w:rsidR="009B1D27" w:rsidRPr="000534B6" w:rsidRDefault="009B1D27" w:rsidP="009B1D27">
    <w:pPr>
      <w:pStyle w:val="Footer"/>
      <w:pBdr>
        <w:top w:val="single" w:sz="4" w:space="1" w:color="auto"/>
      </w:pBdr>
      <w:rPr>
        <w:rFonts w:ascii="Times New Roman" w:hAnsi="Times New Roman" w:cs="Times New Roman"/>
        <w:sz w:val="18"/>
        <w:szCs w:val="18"/>
      </w:rPr>
    </w:pPr>
    <w:r w:rsidRPr="000534B6">
      <w:rPr>
        <w:rFonts w:ascii="Times New Roman" w:hAnsi="Times New Roman" w:cs="Times New Roman"/>
        <w:sz w:val="18"/>
        <w:szCs w:val="18"/>
        <w:vertAlign w:val="superscript"/>
      </w:rPr>
      <w:t>1</w:t>
    </w:r>
    <w:r w:rsidRPr="000534B6">
      <w:rPr>
        <w:rFonts w:ascii="Times New Roman" w:hAnsi="Times New Roman" w:cs="Times New Roman"/>
        <w:sz w:val="18"/>
        <w:szCs w:val="18"/>
      </w:rPr>
      <w:t xml:space="preserve">Department of Electric Electronic Engineering, Selcuk University Faculty of Technology, </w:t>
    </w:r>
    <w:proofErr w:type="spellStart"/>
    <w:r w:rsidRPr="000534B6">
      <w:rPr>
        <w:rFonts w:ascii="Times New Roman" w:hAnsi="Times New Roman" w:cs="Times New Roman"/>
        <w:sz w:val="18"/>
        <w:szCs w:val="18"/>
      </w:rPr>
      <w:t>Selçuklu</w:t>
    </w:r>
    <w:proofErr w:type="spellEnd"/>
    <w:r w:rsidRPr="000534B6">
      <w:rPr>
        <w:rFonts w:ascii="Times New Roman" w:hAnsi="Times New Roman" w:cs="Times New Roman"/>
        <w:sz w:val="18"/>
        <w:szCs w:val="18"/>
      </w:rPr>
      <w:t>, Konya, ORCID:</w:t>
    </w:r>
    <w:r w:rsidR="00763F06">
      <w:rPr>
        <w:rFonts w:ascii="Times New Roman" w:hAnsi="Times New Roman" w:cs="Times New Roman"/>
        <w:sz w:val="18"/>
        <w:szCs w:val="18"/>
      </w:rPr>
      <w:t xml:space="preserve"> </w:t>
    </w:r>
    <w:r w:rsidR="00763F06" w:rsidRPr="00763F06">
      <w:rPr>
        <w:rFonts w:ascii="Times New Roman" w:hAnsi="Times New Roman" w:cs="Times New Roman"/>
        <w:sz w:val="18"/>
        <w:szCs w:val="18"/>
      </w:rPr>
      <w:t>0000-0001-5928-8457</w:t>
    </w:r>
  </w:p>
  <w:p w14:paraId="3A77862F" w14:textId="4B31AAA5" w:rsidR="009B1D27" w:rsidRPr="000534B6" w:rsidRDefault="009B1D27" w:rsidP="009B1D27">
    <w:pPr>
      <w:pStyle w:val="Footer"/>
      <w:pBdr>
        <w:top w:val="single" w:sz="4" w:space="1" w:color="auto"/>
      </w:pBdr>
      <w:rPr>
        <w:rFonts w:ascii="Times New Roman" w:hAnsi="Times New Roman" w:cs="Times New Roman"/>
        <w:sz w:val="18"/>
        <w:szCs w:val="18"/>
      </w:rPr>
    </w:pPr>
    <w:r w:rsidRPr="000534B6">
      <w:rPr>
        <w:rFonts w:ascii="Times New Roman" w:hAnsi="Times New Roman" w:cs="Times New Roman"/>
        <w:sz w:val="18"/>
        <w:szCs w:val="18"/>
        <w:vertAlign w:val="superscript"/>
      </w:rPr>
      <w:t>2</w:t>
    </w:r>
    <w:r w:rsidRPr="000534B6">
      <w:rPr>
        <w:rFonts w:ascii="Times New Roman" w:hAnsi="Times New Roman" w:cs="Times New Roman"/>
        <w:sz w:val="18"/>
        <w:szCs w:val="18"/>
      </w:rPr>
      <w:t xml:space="preserve">Department of Electrical and Energy, Konya Technic University of Technical Sciences Vocational School Technology, </w:t>
    </w:r>
    <w:proofErr w:type="spellStart"/>
    <w:r w:rsidRPr="000534B6">
      <w:rPr>
        <w:rFonts w:ascii="Times New Roman" w:hAnsi="Times New Roman" w:cs="Times New Roman"/>
        <w:sz w:val="18"/>
        <w:szCs w:val="18"/>
      </w:rPr>
      <w:t>Selçuklu</w:t>
    </w:r>
    <w:proofErr w:type="spellEnd"/>
    <w:r w:rsidRPr="000534B6">
      <w:rPr>
        <w:rFonts w:ascii="Times New Roman" w:hAnsi="Times New Roman" w:cs="Times New Roman"/>
        <w:sz w:val="18"/>
        <w:szCs w:val="18"/>
      </w:rPr>
      <w:t>, Konya, ORCID:</w:t>
    </w:r>
    <w:r w:rsidR="0027387D">
      <w:rPr>
        <w:rFonts w:ascii="Times New Roman" w:hAnsi="Times New Roman" w:cs="Times New Roman"/>
        <w:sz w:val="18"/>
        <w:szCs w:val="18"/>
      </w:rPr>
      <w:t xml:space="preserve"> </w:t>
    </w:r>
    <w:r w:rsidR="0027387D" w:rsidRPr="0027387D">
      <w:rPr>
        <w:rFonts w:ascii="Times New Roman" w:hAnsi="Times New Roman" w:cs="Times New Roman"/>
        <w:sz w:val="18"/>
        <w:szCs w:val="18"/>
      </w:rPr>
      <w:t>0000-0002-9285-5764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00C3" w14:textId="77777777" w:rsidR="00FD460D" w:rsidRDefault="00FD460D" w:rsidP="00B80B2C">
      <w:pPr>
        <w:spacing w:after="0" w:line="240" w:lineRule="auto"/>
      </w:pPr>
      <w:r>
        <w:separator/>
      </w:r>
    </w:p>
  </w:footnote>
  <w:footnote w:type="continuationSeparator" w:id="0">
    <w:p w14:paraId="128C1DF6" w14:textId="77777777" w:rsidR="00FD460D" w:rsidRDefault="00FD460D"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5898" w14:textId="77777777" w:rsidR="0027387D" w:rsidRDefault="00273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5949" w14:textId="77777777" w:rsidR="00B80B2C" w:rsidRPr="00E03D4C" w:rsidRDefault="00B80B2C" w:rsidP="00E03D4C">
    <w:pPr>
      <w:pStyle w:val="Header"/>
      <w:pBdr>
        <w:bottom w:val="single" w:sz="4" w:space="1" w:color="auto"/>
      </w:pBdr>
      <w:jc w:val="center"/>
      <w:rPr>
        <w:rFonts w:ascii="Times New Roman" w:hAnsi="Times New Roman" w:cs="Times New Roman"/>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9"/>
    </w:tblGrid>
    <w:tr w:rsidR="00B37BAD" w14:paraId="78491AF7" w14:textId="77777777" w:rsidTr="00B37BAD">
      <w:trPr>
        <w:trHeight w:val="1061"/>
      </w:trPr>
      <w:tc>
        <w:tcPr>
          <w:tcW w:w="10319" w:type="dxa"/>
          <w:tcBorders>
            <w:top w:val="single" w:sz="4" w:space="0" w:color="auto"/>
            <w:bottom w:val="single" w:sz="4" w:space="0" w:color="auto"/>
          </w:tcBorders>
          <w:vAlign w:val="center"/>
        </w:tcPr>
        <w:p w14:paraId="70F2FBC0" w14:textId="7E0A85B3" w:rsidR="00B37BAD" w:rsidRPr="0044705D" w:rsidRDefault="0044705D" w:rsidP="0044705D">
          <w:pPr>
            <w:jc w:val="center"/>
            <w:rPr>
              <w:rFonts w:ascii="Times New Roman" w:hAnsi="Times New Roman" w:cs="Times New Roman"/>
              <w:i/>
              <w:color w:val="767171" w:themeColor="background2" w:themeShade="80"/>
              <w:sz w:val="28"/>
              <w:szCs w:val="28"/>
            </w:rPr>
          </w:pPr>
          <w:r w:rsidRPr="0044705D">
            <w:rPr>
              <w:rFonts w:ascii="Times New Roman" w:hAnsi="Times New Roman" w:cs="Times New Roman"/>
              <w:i/>
              <w:sz w:val="28"/>
              <w:szCs w:val="28"/>
            </w:rPr>
            <w:t>The International Conference on Defense Technologies &amp; Future Strategies</w:t>
          </w:r>
        </w:p>
        <w:p w14:paraId="34B0F015" w14:textId="7FF8D781" w:rsidR="00B37BAD" w:rsidRPr="00177B53" w:rsidRDefault="00B37BAD" w:rsidP="00CC2C38">
          <w:pPr>
            <w:jc w:val="center"/>
            <w:rPr>
              <w:rFonts w:ascii="Adobe Caslon Pro" w:hAnsi="Adobe Caslon Pro"/>
              <w:i/>
              <w:color w:val="767171" w:themeColor="background2" w:themeShade="80"/>
              <w:sz w:val="20"/>
              <w:szCs w:val="20"/>
            </w:rPr>
          </w:pPr>
          <w:r w:rsidRPr="00177B53">
            <w:rPr>
              <w:rFonts w:ascii="Times New Roman" w:hAnsi="Times New Roman" w:cs="Times New Roman"/>
              <w:i/>
              <w:color w:val="767171" w:themeColor="background2" w:themeShade="80"/>
              <w:sz w:val="20"/>
              <w:szCs w:val="20"/>
            </w:rPr>
            <w:t xml:space="preserve">December </w:t>
          </w:r>
          <w:r w:rsidR="0044705D">
            <w:rPr>
              <w:rFonts w:ascii="Times New Roman" w:hAnsi="Times New Roman" w:cs="Times New Roman"/>
              <w:i/>
              <w:color w:val="767171" w:themeColor="background2" w:themeShade="80"/>
              <w:sz w:val="20"/>
              <w:szCs w:val="20"/>
            </w:rPr>
            <w:t>17</w:t>
          </w:r>
          <w:r w:rsidRPr="00177B53">
            <w:rPr>
              <w:rFonts w:ascii="Times New Roman" w:hAnsi="Times New Roman" w:cs="Times New Roman"/>
              <w:i/>
              <w:color w:val="767171" w:themeColor="background2" w:themeShade="80"/>
              <w:sz w:val="20"/>
              <w:szCs w:val="20"/>
            </w:rPr>
            <w:t>-</w:t>
          </w:r>
          <w:r w:rsidR="0044705D">
            <w:rPr>
              <w:rFonts w:ascii="Times New Roman" w:hAnsi="Times New Roman" w:cs="Times New Roman"/>
              <w:i/>
              <w:color w:val="767171" w:themeColor="background2" w:themeShade="80"/>
              <w:sz w:val="20"/>
              <w:szCs w:val="20"/>
            </w:rPr>
            <w:t>20</w:t>
          </w:r>
          <w:r w:rsidRPr="00177B53">
            <w:rPr>
              <w:rFonts w:ascii="Times New Roman" w:hAnsi="Times New Roman" w:cs="Times New Roman"/>
              <w:i/>
              <w:color w:val="767171" w:themeColor="background2" w:themeShade="80"/>
              <w:sz w:val="20"/>
              <w:szCs w:val="20"/>
            </w:rPr>
            <w:t xml:space="preserve">, </w:t>
          </w:r>
          <w:proofErr w:type="gramStart"/>
          <w:r w:rsidRPr="00177B53">
            <w:rPr>
              <w:rFonts w:ascii="Times New Roman" w:hAnsi="Times New Roman" w:cs="Times New Roman"/>
              <w:i/>
              <w:color w:val="767171" w:themeColor="background2" w:themeShade="80"/>
              <w:sz w:val="20"/>
              <w:szCs w:val="20"/>
            </w:rPr>
            <w:t>202</w:t>
          </w:r>
          <w:r w:rsidR="007D20BC">
            <w:rPr>
              <w:rFonts w:ascii="Times New Roman" w:hAnsi="Times New Roman" w:cs="Times New Roman"/>
              <w:i/>
              <w:color w:val="767171" w:themeColor="background2" w:themeShade="80"/>
              <w:sz w:val="20"/>
              <w:szCs w:val="20"/>
            </w:rPr>
            <w:t>5</w:t>
          </w:r>
          <w:r w:rsidRPr="00177B53">
            <w:rPr>
              <w:rFonts w:ascii="Times New Roman" w:hAnsi="Times New Roman" w:cs="Times New Roman"/>
              <w:i/>
              <w:color w:val="767171" w:themeColor="background2" w:themeShade="80"/>
              <w:sz w:val="20"/>
              <w:szCs w:val="20"/>
            </w:rPr>
            <w:t xml:space="preserve">  Konya</w:t>
          </w:r>
          <w:proofErr w:type="gramEnd"/>
          <w:r w:rsidRPr="00177B53">
            <w:rPr>
              <w:rFonts w:ascii="Times New Roman" w:hAnsi="Times New Roman" w:cs="Times New Roman"/>
              <w:i/>
              <w:color w:val="767171" w:themeColor="background2" w:themeShade="80"/>
              <w:sz w:val="20"/>
              <w:szCs w:val="20"/>
            </w:rPr>
            <w:t>, Turkey</w:t>
          </w:r>
        </w:p>
      </w:tc>
    </w:tr>
  </w:tbl>
  <w:p w14:paraId="3F12A0FD" w14:textId="77777777" w:rsidR="00E547B8" w:rsidRPr="00C327B7" w:rsidRDefault="00E547B8" w:rsidP="007F0B30">
    <w:pPr>
      <w:pStyle w:val="Header"/>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6ED2" w14:textId="3FC1C002" w:rsidR="00177B53" w:rsidRPr="0044705D" w:rsidRDefault="0044705D" w:rsidP="00177B53">
    <w:pPr>
      <w:pBdr>
        <w:top w:val="single" w:sz="4" w:space="1" w:color="auto"/>
        <w:bottom w:val="single" w:sz="4" w:space="1" w:color="auto"/>
      </w:pBdr>
      <w:jc w:val="center"/>
      <w:rPr>
        <w:rFonts w:ascii="Times New Roman" w:hAnsi="Times New Roman" w:cs="Times New Roman"/>
        <w:i/>
        <w:sz w:val="28"/>
        <w:szCs w:val="28"/>
      </w:rPr>
    </w:pPr>
    <w:r w:rsidRPr="0044705D">
      <w:rPr>
        <w:rFonts w:ascii="Times New Roman" w:hAnsi="Times New Roman" w:cs="Times New Roman"/>
        <w:i/>
        <w:sz w:val="28"/>
        <w:szCs w:val="28"/>
      </w:rPr>
      <w:t xml:space="preserve">The International Conference </w:t>
    </w:r>
    <w:r>
      <w:rPr>
        <w:rFonts w:ascii="Times New Roman" w:hAnsi="Times New Roman" w:cs="Times New Roman"/>
        <w:i/>
        <w:sz w:val="28"/>
        <w:szCs w:val="28"/>
      </w:rPr>
      <w:t>o</w:t>
    </w:r>
    <w:r w:rsidRPr="0044705D">
      <w:rPr>
        <w:rFonts w:ascii="Times New Roman" w:hAnsi="Times New Roman" w:cs="Times New Roman"/>
        <w:i/>
        <w:sz w:val="28"/>
        <w:szCs w:val="28"/>
      </w:rPr>
      <w:t>n Defense Technologies &amp; Future Strategies</w:t>
    </w:r>
  </w:p>
  <w:p w14:paraId="781761C8" w14:textId="171A62A9" w:rsidR="00616F06" w:rsidRDefault="00177B53" w:rsidP="00177B53">
    <w:pPr>
      <w:pStyle w:val="Header"/>
      <w:pBdr>
        <w:top w:val="single" w:sz="4" w:space="1" w:color="auto"/>
        <w:bottom w:val="single" w:sz="4" w:space="1" w:color="auto"/>
      </w:pBdr>
      <w:jc w:val="center"/>
      <w:rPr>
        <w:rFonts w:ascii="Times New Roman" w:hAnsi="Times New Roman" w:cs="Times New Roman"/>
        <w:i/>
        <w:color w:val="767171" w:themeColor="background2" w:themeShade="80"/>
        <w:sz w:val="20"/>
        <w:szCs w:val="20"/>
      </w:rPr>
    </w:pPr>
    <w:r w:rsidRPr="00177B53">
      <w:rPr>
        <w:rFonts w:ascii="Times New Roman" w:hAnsi="Times New Roman" w:cs="Times New Roman"/>
        <w:i/>
        <w:color w:val="767171" w:themeColor="background2" w:themeShade="80"/>
        <w:sz w:val="20"/>
        <w:szCs w:val="20"/>
      </w:rPr>
      <w:t xml:space="preserve">December 26-28, </w:t>
    </w:r>
    <w:proofErr w:type="gramStart"/>
    <w:r w:rsidRPr="00177B53">
      <w:rPr>
        <w:rFonts w:ascii="Times New Roman" w:hAnsi="Times New Roman" w:cs="Times New Roman"/>
        <w:i/>
        <w:color w:val="767171" w:themeColor="background2" w:themeShade="80"/>
        <w:sz w:val="20"/>
        <w:szCs w:val="20"/>
      </w:rPr>
      <w:t>202</w:t>
    </w:r>
    <w:r w:rsidR="007D20BC">
      <w:rPr>
        <w:rFonts w:ascii="Times New Roman" w:hAnsi="Times New Roman" w:cs="Times New Roman"/>
        <w:i/>
        <w:color w:val="767171" w:themeColor="background2" w:themeShade="80"/>
        <w:sz w:val="20"/>
        <w:szCs w:val="20"/>
      </w:rPr>
      <w:t>5</w:t>
    </w:r>
    <w:r w:rsidRPr="00177B53">
      <w:rPr>
        <w:rFonts w:ascii="Times New Roman" w:hAnsi="Times New Roman" w:cs="Times New Roman"/>
        <w:i/>
        <w:color w:val="767171" w:themeColor="background2" w:themeShade="80"/>
        <w:sz w:val="20"/>
        <w:szCs w:val="20"/>
      </w:rPr>
      <w:t xml:space="preserve">  Konya</w:t>
    </w:r>
    <w:proofErr w:type="gramEnd"/>
    <w:r w:rsidRPr="00177B53">
      <w:rPr>
        <w:rFonts w:ascii="Times New Roman" w:hAnsi="Times New Roman" w:cs="Times New Roman"/>
        <w:i/>
        <w:color w:val="767171" w:themeColor="background2" w:themeShade="80"/>
        <w:sz w:val="20"/>
        <w:szCs w:val="20"/>
      </w:rPr>
      <w:t>, Turkey</w:t>
    </w:r>
  </w:p>
  <w:p w14:paraId="7A57C87F" w14:textId="77777777" w:rsidR="00413EA1" w:rsidRDefault="00413EA1" w:rsidP="00177B53">
    <w:pPr>
      <w:pStyle w:val="Header"/>
      <w:pBdr>
        <w:top w:val="single" w:sz="4" w:space="1" w:color="auto"/>
        <w:bottom w:val="single" w:sz="4" w:space="1" w:color="auto"/>
      </w:pBdr>
      <w:jc w:val="center"/>
      <w:rPr>
        <w:rFonts w:ascii="Times New Roman" w:hAnsi="Times New Roman" w:cs="Times New Roman"/>
        <w:i/>
        <w:color w:val="767171" w:themeColor="background2" w:themeShade="80"/>
        <w:sz w:val="20"/>
        <w:szCs w:val="20"/>
      </w:rPr>
    </w:pPr>
  </w:p>
  <w:p w14:paraId="22907C78" w14:textId="77777777" w:rsidR="00177B53" w:rsidRPr="00177B53" w:rsidRDefault="00177B53" w:rsidP="00177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6BB56FC"/>
    <w:multiLevelType w:val="hybridMultilevel"/>
    <w:tmpl w:val="67F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 w15:restartNumberingAfterBreak="0">
    <w:nsid w:val="328273D7"/>
    <w:multiLevelType w:val="multilevel"/>
    <w:tmpl w:val="9C8E938C"/>
    <w:numStyleLink w:val="IEEEBullet1"/>
  </w:abstractNum>
  <w:abstractNum w:abstractNumId="4" w15:restartNumberingAfterBreak="0">
    <w:nsid w:val="33FA49BC"/>
    <w:multiLevelType w:val="hybridMultilevel"/>
    <w:tmpl w:val="69648F18"/>
    <w:lvl w:ilvl="0" w:tplc="1B223930">
      <w:start w:val="1"/>
      <w:numFmt w:val="lowerLetter"/>
      <w:lvlText w:val="(%1)"/>
      <w:lvlJc w:val="left"/>
      <w:pPr>
        <w:ind w:left="7286" w:hanging="4812"/>
      </w:pPr>
      <w:rPr>
        <w:rFonts w:hint="default"/>
      </w:rPr>
    </w:lvl>
    <w:lvl w:ilvl="1" w:tplc="041F0019" w:tentative="1">
      <w:start w:val="1"/>
      <w:numFmt w:val="lowerLetter"/>
      <w:lvlText w:val="%2."/>
      <w:lvlJc w:val="left"/>
      <w:pPr>
        <w:ind w:left="3554" w:hanging="360"/>
      </w:pPr>
    </w:lvl>
    <w:lvl w:ilvl="2" w:tplc="041F001B" w:tentative="1">
      <w:start w:val="1"/>
      <w:numFmt w:val="lowerRoman"/>
      <w:lvlText w:val="%3."/>
      <w:lvlJc w:val="right"/>
      <w:pPr>
        <w:ind w:left="4274" w:hanging="180"/>
      </w:pPr>
    </w:lvl>
    <w:lvl w:ilvl="3" w:tplc="041F000F" w:tentative="1">
      <w:start w:val="1"/>
      <w:numFmt w:val="decimal"/>
      <w:lvlText w:val="%4."/>
      <w:lvlJc w:val="left"/>
      <w:pPr>
        <w:ind w:left="4994" w:hanging="360"/>
      </w:pPr>
    </w:lvl>
    <w:lvl w:ilvl="4" w:tplc="041F0019" w:tentative="1">
      <w:start w:val="1"/>
      <w:numFmt w:val="lowerLetter"/>
      <w:lvlText w:val="%5."/>
      <w:lvlJc w:val="left"/>
      <w:pPr>
        <w:ind w:left="5714" w:hanging="360"/>
      </w:pPr>
    </w:lvl>
    <w:lvl w:ilvl="5" w:tplc="041F001B" w:tentative="1">
      <w:start w:val="1"/>
      <w:numFmt w:val="lowerRoman"/>
      <w:lvlText w:val="%6."/>
      <w:lvlJc w:val="right"/>
      <w:pPr>
        <w:ind w:left="6434" w:hanging="180"/>
      </w:pPr>
    </w:lvl>
    <w:lvl w:ilvl="6" w:tplc="041F000F" w:tentative="1">
      <w:start w:val="1"/>
      <w:numFmt w:val="decimal"/>
      <w:lvlText w:val="%7."/>
      <w:lvlJc w:val="left"/>
      <w:pPr>
        <w:ind w:left="7154" w:hanging="360"/>
      </w:pPr>
    </w:lvl>
    <w:lvl w:ilvl="7" w:tplc="041F0019" w:tentative="1">
      <w:start w:val="1"/>
      <w:numFmt w:val="lowerLetter"/>
      <w:lvlText w:val="%8."/>
      <w:lvlJc w:val="left"/>
      <w:pPr>
        <w:ind w:left="7874" w:hanging="360"/>
      </w:pPr>
    </w:lvl>
    <w:lvl w:ilvl="8" w:tplc="041F001B" w:tentative="1">
      <w:start w:val="1"/>
      <w:numFmt w:val="lowerRoman"/>
      <w:lvlText w:val="%9."/>
      <w:lvlJc w:val="right"/>
      <w:pPr>
        <w:ind w:left="8594"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52BA7704"/>
    <w:multiLevelType w:val="hybridMultilevel"/>
    <w:tmpl w:val="C36A74C4"/>
    <w:lvl w:ilvl="0" w:tplc="97481E9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5C1E4276"/>
    <w:multiLevelType w:val="hybridMultilevel"/>
    <w:tmpl w:val="69648F18"/>
    <w:lvl w:ilvl="0" w:tplc="FFFFFFFF">
      <w:start w:val="1"/>
      <w:numFmt w:val="lowerLetter"/>
      <w:lvlText w:val="(%1)"/>
      <w:lvlJc w:val="left"/>
      <w:pPr>
        <w:ind w:left="7286" w:hanging="4812"/>
      </w:pPr>
      <w:rPr>
        <w:rFonts w:hint="default"/>
      </w:rPr>
    </w:lvl>
    <w:lvl w:ilvl="1" w:tplc="FFFFFFFF" w:tentative="1">
      <w:start w:val="1"/>
      <w:numFmt w:val="lowerLetter"/>
      <w:lvlText w:val="%2."/>
      <w:lvlJc w:val="left"/>
      <w:pPr>
        <w:ind w:left="3554" w:hanging="360"/>
      </w:pPr>
    </w:lvl>
    <w:lvl w:ilvl="2" w:tplc="FFFFFFFF" w:tentative="1">
      <w:start w:val="1"/>
      <w:numFmt w:val="lowerRoman"/>
      <w:lvlText w:val="%3."/>
      <w:lvlJc w:val="right"/>
      <w:pPr>
        <w:ind w:left="4274" w:hanging="180"/>
      </w:pPr>
    </w:lvl>
    <w:lvl w:ilvl="3" w:tplc="FFFFFFFF" w:tentative="1">
      <w:start w:val="1"/>
      <w:numFmt w:val="decimal"/>
      <w:lvlText w:val="%4."/>
      <w:lvlJc w:val="left"/>
      <w:pPr>
        <w:ind w:left="4994" w:hanging="360"/>
      </w:pPr>
    </w:lvl>
    <w:lvl w:ilvl="4" w:tplc="FFFFFFFF" w:tentative="1">
      <w:start w:val="1"/>
      <w:numFmt w:val="lowerLetter"/>
      <w:lvlText w:val="%5."/>
      <w:lvlJc w:val="left"/>
      <w:pPr>
        <w:ind w:left="5714" w:hanging="360"/>
      </w:pPr>
    </w:lvl>
    <w:lvl w:ilvl="5" w:tplc="FFFFFFFF" w:tentative="1">
      <w:start w:val="1"/>
      <w:numFmt w:val="lowerRoman"/>
      <w:lvlText w:val="%6."/>
      <w:lvlJc w:val="right"/>
      <w:pPr>
        <w:ind w:left="6434" w:hanging="180"/>
      </w:pPr>
    </w:lvl>
    <w:lvl w:ilvl="6" w:tplc="FFFFFFFF" w:tentative="1">
      <w:start w:val="1"/>
      <w:numFmt w:val="decimal"/>
      <w:lvlText w:val="%7."/>
      <w:lvlJc w:val="left"/>
      <w:pPr>
        <w:ind w:left="7154" w:hanging="360"/>
      </w:pPr>
    </w:lvl>
    <w:lvl w:ilvl="7" w:tplc="FFFFFFFF" w:tentative="1">
      <w:start w:val="1"/>
      <w:numFmt w:val="lowerLetter"/>
      <w:lvlText w:val="%8."/>
      <w:lvlJc w:val="left"/>
      <w:pPr>
        <w:ind w:left="7874" w:hanging="360"/>
      </w:pPr>
    </w:lvl>
    <w:lvl w:ilvl="8" w:tplc="FFFFFFFF" w:tentative="1">
      <w:start w:val="1"/>
      <w:numFmt w:val="lowerRoman"/>
      <w:lvlText w:val="%9."/>
      <w:lvlJc w:val="right"/>
      <w:pPr>
        <w:ind w:left="8594" w:hanging="180"/>
      </w:pPr>
    </w:lvl>
  </w:abstractNum>
  <w:abstractNum w:abstractNumId="9" w15:restartNumberingAfterBreak="0">
    <w:nsid w:val="5D7C2015"/>
    <w:multiLevelType w:val="hybridMultilevel"/>
    <w:tmpl w:val="69648F18"/>
    <w:lvl w:ilvl="0" w:tplc="FFFFFFFF">
      <w:start w:val="1"/>
      <w:numFmt w:val="lowerLetter"/>
      <w:lvlText w:val="(%1)"/>
      <w:lvlJc w:val="left"/>
      <w:pPr>
        <w:ind w:left="7286" w:hanging="4812"/>
      </w:pPr>
      <w:rPr>
        <w:rFonts w:hint="default"/>
      </w:rPr>
    </w:lvl>
    <w:lvl w:ilvl="1" w:tplc="FFFFFFFF" w:tentative="1">
      <w:start w:val="1"/>
      <w:numFmt w:val="lowerLetter"/>
      <w:lvlText w:val="%2."/>
      <w:lvlJc w:val="left"/>
      <w:pPr>
        <w:ind w:left="3554" w:hanging="360"/>
      </w:pPr>
    </w:lvl>
    <w:lvl w:ilvl="2" w:tplc="FFFFFFFF" w:tentative="1">
      <w:start w:val="1"/>
      <w:numFmt w:val="lowerRoman"/>
      <w:lvlText w:val="%3."/>
      <w:lvlJc w:val="right"/>
      <w:pPr>
        <w:ind w:left="4274" w:hanging="180"/>
      </w:pPr>
    </w:lvl>
    <w:lvl w:ilvl="3" w:tplc="FFFFFFFF" w:tentative="1">
      <w:start w:val="1"/>
      <w:numFmt w:val="decimal"/>
      <w:lvlText w:val="%4."/>
      <w:lvlJc w:val="left"/>
      <w:pPr>
        <w:ind w:left="4994" w:hanging="360"/>
      </w:pPr>
    </w:lvl>
    <w:lvl w:ilvl="4" w:tplc="FFFFFFFF" w:tentative="1">
      <w:start w:val="1"/>
      <w:numFmt w:val="lowerLetter"/>
      <w:lvlText w:val="%5."/>
      <w:lvlJc w:val="left"/>
      <w:pPr>
        <w:ind w:left="5714" w:hanging="360"/>
      </w:pPr>
    </w:lvl>
    <w:lvl w:ilvl="5" w:tplc="FFFFFFFF" w:tentative="1">
      <w:start w:val="1"/>
      <w:numFmt w:val="lowerRoman"/>
      <w:lvlText w:val="%6."/>
      <w:lvlJc w:val="right"/>
      <w:pPr>
        <w:ind w:left="6434" w:hanging="180"/>
      </w:pPr>
    </w:lvl>
    <w:lvl w:ilvl="6" w:tplc="FFFFFFFF" w:tentative="1">
      <w:start w:val="1"/>
      <w:numFmt w:val="decimal"/>
      <w:lvlText w:val="%7."/>
      <w:lvlJc w:val="left"/>
      <w:pPr>
        <w:ind w:left="7154" w:hanging="360"/>
      </w:pPr>
    </w:lvl>
    <w:lvl w:ilvl="7" w:tplc="FFFFFFFF" w:tentative="1">
      <w:start w:val="1"/>
      <w:numFmt w:val="lowerLetter"/>
      <w:lvlText w:val="%8."/>
      <w:lvlJc w:val="left"/>
      <w:pPr>
        <w:ind w:left="7874" w:hanging="360"/>
      </w:pPr>
    </w:lvl>
    <w:lvl w:ilvl="8" w:tplc="FFFFFFFF" w:tentative="1">
      <w:start w:val="1"/>
      <w:numFmt w:val="lowerRoman"/>
      <w:lvlText w:val="%9."/>
      <w:lvlJc w:val="right"/>
      <w:pPr>
        <w:ind w:left="8594" w:hanging="180"/>
      </w:pPr>
    </w:lvl>
  </w:abstractNum>
  <w:abstractNum w:abstractNumId="10"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1" w15:restartNumberingAfterBreak="0">
    <w:nsid w:val="6BF157B1"/>
    <w:multiLevelType w:val="hybridMultilevel"/>
    <w:tmpl w:val="69648F18"/>
    <w:lvl w:ilvl="0" w:tplc="FFFFFFFF">
      <w:start w:val="1"/>
      <w:numFmt w:val="lowerLetter"/>
      <w:lvlText w:val="(%1)"/>
      <w:lvlJc w:val="left"/>
      <w:pPr>
        <w:ind w:left="7286" w:hanging="4812"/>
      </w:pPr>
      <w:rPr>
        <w:rFonts w:hint="default"/>
      </w:rPr>
    </w:lvl>
    <w:lvl w:ilvl="1" w:tplc="FFFFFFFF" w:tentative="1">
      <w:start w:val="1"/>
      <w:numFmt w:val="lowerLetter"/>
      <w:lvlText w:val="%2."/>
      <w:lvlJc w:val="left"/>
      <w:pPr>
        <w:ind w:left="3554" w:hanging="360"/>
      </w:pPr>
    </w:lvl>
    <w:lvl w:ilvl="2" w:tplc="FFFFFFFF" w:tentative="1">
      <w:start w:val="1"/>
      <w:numFmt w:val="lowerRoman"/>
      <w:lvlText w:val="%3."/>
      <w:lvlJc w:val="right"/>
      <w:pPr>
        <w:ind w:left="4274" w:hanging="180"/>
      </w:pPr>
    </w:lvl>
    <w:lvl w:ilvl="3" w:tplc="FFFFFFFF" w:tentative="1">
      <w:start w:val="1"/>
      <w:numFmt w:val="decimal"/>
      <w:lvlText w:val="%4."/>
      <w:lvlJc w:val="left"/>
      <w:pPr>
        <w:ind w:left="4994" w:hanging="360"/>
      </w:pPr>
    </w:lvl>
    <w:lvl w:ilvl="4" w:tplc="FFFFFFFF" w:tentative="1">
      <w:start w:val="1"/>
      <w:numFmt w:val="lowerLetter"/>
      <w:lvlText w:val="%5."/>
      <w:lvlJc w:val="left"/>
      <w:pPr>
        <w:ind w:left="5714" w:hanging="360"/>
      </w:pPr>
    </w:lvl>
    <w:lvl w:ilvl="5" w:tplc="FFFFFFFF" w:tentative="1">
      <w:start w:val="1"/>
      <w:numFmt w:val="lowerRoman"/>
      <w:lvlText w:val="%6."/>
      <w:lvlJc w:val="right"/>
      <w:pPr>
        <w:ind w:left="6434" w:hanging="180"/>
      </w:pPr>
    </w:lvl>
    <w:lvl w:ilvl="6" w:tplc="FFFFFFFF" w:tentative="1">
      <w:start w:val="1"/>
      <w:numFmt w:val="decimal"/>
      <w:lvlText w:val="%7."/>
      <w:lvlJc w:val="left"/>
      <w:pPr>
        <w:ind w:left="7154" w:hanging="360"/>
      </w:pPr>
    </w:lvl>
    <w:lvl w:ilvl="7" w:tplc="FFFFFFFF" w:tentative="1">
      <w:start w:val="1"/>
      <w:numFmt w:val="lowerLetter"/>
      <w:lvlText w:val="%8."/>
      <w:lvlJc w:val="left"/>
      <w:pPr>
        <w:ind w:left="7874" w:hanging="360"/>
      </w:pPr>
    </w:lvl>
    <w:lvl w:ilvl="8" w:tplc="FFFFFFFF" w:tentative="1">
      <w:start w:val="1"/>
      <w:numFmt w:val="lowerRoman"/>
      <w:lvlText w:val="%9."/>
      <w:lvlJc w:val="right"/>
      <w:pPr>
        <w:ind w:left="8594" w:hanging="180"/>
      </w:pPr>
    </w:lvl>
  </w:abstractNum>
  <w:abstractNum w:abstractNumId="12" w15:restartNumberingAfterBreak="0">
    <w:nsid w:val="7BE257E3"/>
    <w:multiLevelType w:val="hybridMultilevel"/>
    <w:tmpl w:val="69648F18"/>
    <w:lvl w:ilvl="0" w:tplc="FFFFFFFF">
      <w:start w:val="1"/>
      <w:numFmt w:val="lowerLetter"/>
      <w:lvlText w:val="(%1)"/>
      <w:lvlJc w:val="left"/>
      <w:pPr>
        <w:ind w:left="7286" w:hanging="4812"/>
      </w:pPr>
      <w:rPr>
        <w:rFonts w:hint="default"/>
      </w:rPr>
    </w:lvl>
    <w:lvl w:ilvl="1" w:tplc="FFFFFFFF" w:tentative="1">
      <w:start w:val="1"/>
      <w:numFmt w:val="lowerLetter"/>
      <w:lvlText w:val="%2."/>
      <w:lvlJc w:val="left"/>
      <w:pPr>
        <w:ind w:left="3554" w:hanging="360"/>
      </w:pPr>
    </w:lvl>
    <w:lvl w:ilvl="2" w:tplc="FFFFFFFF" w:tentative="1">
      <w:start w:val="1"/>
      <w:numFmt w:val="lowerRoman"/>
      <w:lvlText w:val="%3."/>
      <w:lvlJc w:val="right"/>
      <w:pPr>
        <w:ind w:left="4274" w:hanging="180"/>
      </w:pPr>
    </w:lvl>
    <w:lvl w:ilvl="3" w:tplc="FFFFFFFF" w:tentative="1">
      <w:start w:val="1"/>
      <w:numFmt w:val="decimal"/>
      <w:lvlText w:val="%4."/>
      <w:lvlJc w:val="left"/>
      <w:pPr>
        <w:ind w:left="4994" w:hanging="360"/>
      </w:pPr>
    </w:lvl>
    <w:lvl w:ilvl="4" w:tplc="FFFFFFFF" w:tentative="1">
      <w:start w:val="1"/>
      <w:numFmt w:val="lowerLetter"/>
      <w:lvlText w:val="%5."/>
      <w:lvlJc w:val="left"/>
      <w:pPr>
        <w:ind w:left="5714" w:hanging="360"/>
      </w:pPr>
    </w:lvl>
    <w:lvl w:ilvl="5" w:tplc="FFFFFFFF" w:tentative="1">
      <w:start w:val="1"/>
      <w:numFmt w:val="lowerRoman"/>
      <w:lvlText w:val="%6."/>
      <w:lvlJc w:val="right"/>
      <w:pPr>
        <w:ind w:left="6434" w:hanging="180"/>
      </w:pPr>
    </w:lvl>
    <w:lvl w:ilvl="6" w:tplc="FFFFFFFF" w:tentative="1">
      <w:start w:val="1"/>
      <w:numFmt w:val="decimal"/>
      <w:lvlText w:val="%7."/>
      <w:lvlJc w:val="left"/>
      <w:pPr>
        <w:ind w:left="7154" w:hanging="360"/>
      </w:pPr>
    </w:lvl>
    <w:lvl w:ilvl="7" w:tplc="FFFFFFFF" w:tentative="1">
      <w:start w:val="1"/>
      <w:numFmt w:val="lowerLetter"/>
      <w:lvlText w:val="%8."/>
      <w:lvlJc w:val="left"/>
      <w:pPr>
        <w:ind w:left="7874" w:hanging="360"/>
      </w:pPr>
    </w:lvl>
    <w:lvl w:ilvl="8" w:tplc="FFFFFFFF" w:tentative="1">
      <w:start w:val="1"/>
      <w:numFmt w:val="lowerRoman"/>
      <w:lvlText w:val="%9."/>
      <w:lvlJc w:val="right"/>
      <w:pPr>
        <w:ind w:left="8594" w:hanging="180"/>
      </w:pPr>
    </w:lvl>
  </w:abstractNum>
  <w:num w:numId="1" w16cid:durableId="1341934965">
    <w:abstractNumId w:val="0"/>
  </w:num>
  <w:num w:numId="2" w16cid:durableId="956374724">
    <w:abstractNumId w:val="6"/>
  </w:num>
  <w:num w:numId="3" w16cid:durableId="1374499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470661">
    <w:abstractNumId w:val="5"/>
  </w:num>
  <w:num w:numId="5" w16cid:durableId="1096638249">
    <w:abstractNumId w:val="3"/>
  </w:num>
  <w:num w:numId="6" w16cid:durableId="562956502">
    <w:abstractNumId w:val="10"/>
  </w:num>
  <w:num w:numId="7" w16cid:durableId="81797936">
    <w:abstractNumId w:val="2"/>
  </w:num>
  <w:num w:numId="8" w16cid:durableId="728503686">
    <w:abstractNumId w:val="6"/>
  </w:num>
  <w:num w:numId="9" w16cid:durableId="228469543">
    <w:abstractNumId w:val="1"/>
  </w:num>
  <w:num w:numId="10" w16cid:durableId="1134445369">
    <w:abstractNumId w:val="2"/>
  </w:num>
  <w:num w:numId="11" w16cid:durableId="1556040567">
    <w:abstractNumId w:val="7"/>
  </w:num>
  <w:num w:numId="12" w16cid:durableId="2084374231">
    <w:abstractNumId w:val="4"/>
  </w:num>
  <w:num w:numId="13" w16cid:durableId="2011366930">
    <w:abstractNumId w:val="9"/>
  </w:num>
  <w:num w:numId="14" w16cid:durableId="2063945087">
    <w:abstractNumId w:val="11"/>
  </w:num>
  <w:num w:numId="15" w16cid:durableId="1895004288">
    <w:abstractNumId w:val="12"/>
  </w:num>
  <w:num w:numId="16" w16cid:durableId="1896240089">
    <w:abstractNumId w:val="8"/>
  </w:num>
  <w:num w:numId="17" w16cid:durableId="40403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2C"/>
    <w:rsid w:val="00002E0F"/>
    <w:rsid w:val="000312C7"/>
    <w:rsid w:val="000534B6"/>
    <w:rsid w:val="000733C7"/>
    <w:rsid w:val="000926C0"/>
    <w:rsid w:val="000C21CF"/>
    <w:rsid w:val="000C3D46"/>
    <w:rsid w:val="001450D1"/>
    <w:rsid w:val="00177B53"/>
    <w:rsid w:val="001A095E"/>
    <w:rsid w:val="001A3759"/>
    <w:rsid w:val="001B433D"/>
    <w:rsid w:val="001E40E2"/>
    <w:rsid w:val="00212D0B"/>
    <w:rsid w:val="00231378"/>
    <w:rsid w:val="0025363F"/>
    <w:rsid w:val="0026288C"/>
    <w:rsid w:val="0027387D"/>
    <w:rsid w:val="00286E5C"/>
    <w:rsid w:val="002D6E4F"/>
    <w:rsid w:val="002F73E6"/>
    <w:rsid w:val="003254E8"/>
    <w:rsid w:val="003742BD"/>
    <w:rsid w:val="00374E34"/>
    <w:rsid w:val="003A21AF"/>
    <w:rsid w:val="003B3647"/>
    <w:rsid w:val="003C1152"/>
    <w:rsid w:val="003D137F"/>
    <w:rsid w:val="00411E8E"/>
    <w:rsid w:val="00413EA1"/>
    <w:rsid w:val="004146BB"/>
    <w:rsid w:val="00432C22"/>
    <w:rsid w:val="0044705D"/>
    <w:rsid w:val="00463E96"/>
    <w:rsid w:val="004679B7"/>
    <w:rsid w:val="00480AED"/>
    <w:rsid w:val="004B128F"/>
    <w:rsid w:val="004C090F"/>
    <w:rsid w:val="004E4629"/>
    <w:rsid w:val="004F5A62"/>
    <w:rsid w:val="004F7B2D"/>
    <w:rsid w:val="00510F8A"/>
    <w:rsid w:val="0056588A"/>
    <w:rsid w:val="00566076"/>
    <w:rsid w:val="00590211"/>
    <w:rsid w:val="005B5464"/>
    <w:rsid w:val="005E5C10"/>
    <w:rsid w:val="005F5030"/>
    <w:rsid w:val="00616F06"/>
    <w:rsid w:val="00630349"/>
    <w:rsid w:val="006A2F52"/>
    <w:rsid w:val="006C266F"/>
    <w:rsid w:val="00724D79"/>
    <w:rsid w:val="00763F06"/>
    <w:rsid w:val="00773B39"/>
    <w:rsid w:val="007833C8"/>
    <w:rsid w:val="00790179"/>
    <w:rsid w:val="007A1008"/>
    <w:rsid w:val="007A31FF"/>
    <w:rsid w:val="007A41F8"/>
    <w:rsid w:val="007D20BC"/>
    <w:rsid w:val="007F0B30"/>
    <w:rsid w:val="007F7949"/>
    <w:rsid w:val="00882297"/>
    <w:rsid w:val="00896B2D"/>
    <w:rsid w:val="00897BEC"/>
    <w:rsid w:val="008A21D4"/>
    <w:rsid w:val="008B5AB8"/>
    <w:rsid w:val="008D1C18"/>
    <w:rsid w:val="00906B72"/>
    <w:rsid w:val="00915126"/>
    <w:rsid w:val="009260DF"/>
    <w:rsid w:val="009509DE"/>
    <w:rsid w:val="00956F11"/>
    <w:rsid w:val="00996BCA"/>
    <w:rsid w:val="009A38FD"/>
    <w:rsid w:val="009A6C9E"/>
    <w:rsid w:val="009B1D27"/>
    <w:rsid w:val="009D7960"/>
    <w:rsid w:val="009E553F"/>
    <w:rsid w:val="009F154B"/>
    <w:rsid w:val="00A05561"/>
    <w:rsid w:val="00A27A6E"/>
    <w:rsid w:val="00A34E98"/>
    <w:rsid w:val="00A443BC"/>
    <w:rsid w:val="00A46C12"/>
    <w:rsid w:val="00A60AFC"/>
    <w:rsid w:val="00A978C2"/>
    <w:rsid w:val="00B12B9F"/>
    <w:rsid w:val="00B24910"/>
    <w:rsid w:val="00B37BAD"/>
    <w:rsid w:val="00B45D6E"/>
    <w:rsid w:val="00B757B4"/>
    <w:rsid w:val="00B80B2C"/>
    <w:rsid w:val="00B91A01"/>
    <w:rsid w:val="00BA1D8E"/>
    <w:rsid w:val="00BE6ACB"/>
    <w:rsid w:val="00C26E82"/>
    <w:rsid w:val="00C327B7"/>
    <w:rsid w:val="00C46155"/>
    <w:rsid w:val="00C66488"/>
    <w:rsid w:val="00C74977"/>
    <w:rsid w:val="00C95C45"/>
    <w:rsid w:val="00CC2C38"/>
    <w:rsid w:val="00D230AA"/>
    <w:rsid w:val="00D311EE"/>
    <w:rsid w:val="00DA1C6B"/>
    <w:rsid w:val="00DB203B"/>
    <w:rsid w:val="00DD272F"/>
    <w:rsid w:val="00E03D4C"/>
    <w:rsid w:val="00E0476C"/>
    <w:rsid w:val="00E0542D"/>
    <w:rsid w:val="00E50957"/>
    <w:rsid w:val="00E50DAF"/>
    <w:rsid w:val="00E547B8"/>
    <w:rsid w:val="00E60DA7"/>
    <w:rsid w:val="00E71235"/>
    <w:rsid w:val="00ED29C4"/>
    <w:rsid w:val="00EE4CBD"/>
    <w:rsid w:val="00F44C4A"/>
    <w:rsid w:val="00F51606"/>
    <w:rsid w:val="00F5662D"/>
    <w:rsid w:val="00F85C73"/>
    <w:rsid w:val="00F95530"/>
    <w:rsid w:val="00FC2FDC"/>
    <w:rsid w:val="00FD4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3160"/>
  <w15:docId w15:val="{360BC2EF-79F4-492F-8ED1-FDAAA608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B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0B2C"/>
  </w:style>
  <w:style w:type="paragraph" w:styleId="Footer">
    <w:name w:val="footer"/>
    <w:basedOn w:val="Normal"/>
    <w:link w:val="FooterChar"/>
    <w:uiPriority w:val="99"/>
    <w:unhideWhenUsed/>
    <w:rsid w:val="00B80B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0B2C"/>
  </w:style>
  <w:style w:type="paragraph" w:styleId="ListParagraph">
    <w:name w:val="List Paragraph"/>
    <w:basedOn w:val="Normal"/>
    <w:link w:val="ListParagraphChar"/>
    <w:uiPriority w:val="34"/>
    <w:qFormat/>
    <w:rsid w:val="00B80B2C"/>
    <w:pPr>
      <w:ind w:left="720"/>
      <w:contextualSpacing/>
    </w:pPr>
  </w:style>
  <w:style w:type="character" w:customStyle="1" w:styleId="italic">
    <w:name w:val="italic"/>
    <w:basedOn w:val="DefaultParagraphFont"/>
    <w:uiPriority w:val="99"/>
    <w:rsid w:val="00B80B2C"/>
    <w:rPr>
      <w:rFonts w:cs="Times New Roman"/>
    </w:rPr>
  </w:style>
  <w:style w:type="character" w:customStyle="1" w:styleId="apple-converted-space">
    <w:name w:val="apple-converted-space"/>
    <w:basedOn w:val="DefaultParagraphFont"/>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DefaultParagraphFont"/>
    <w:link w:val="IEEEParagraph"/>
    <w:uiPriority w:val="99"/>
    <w:locked/>
    <w:rsid w:val="007F7949"/>
    <w:rPr>
      <w:rFonts w:ascii="Times New Roman" w:eastAsia="SimSun" w:hAnsi="Times New Roman" w:cs="Times New Roman"/>
      <w:sz w:val="20"/>
      <w:szCs w:val="24"/>
      <w:lang w:val="en-AU" w:eastAsia="zh-CN"/>
    </w:rPr>
  </w:style>
  <w:style w:type="character" w:styleId="Hyperlink">
    <w:name w:val="Hyperlink"/>
    <w:basedOn w:val="DefaultParagraphFont"/>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Heading3Char">
    <w:name w:val="Heading 3 Char"/>
    <w:basedOn w:val="DefaultParagraphFont"/>
    <w:link w:val="Heading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DefaultParagraphFont"/>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eGrid">
    <w:name w:val="Table Grid"/>
    <w:basedOn w:val="TableNormal"/>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D1"/>
    <w:rPr>
      <w:rFonts w:ascii="Tahoma" w:hAnsi="Tahoma" w:cs="Tahoma"/>
      <w:sz w:val="16"/>
      <w:szCs w:val="16"/>
    </w:rPr>
  </w:style>
  <w:style w:type="table" w:customStyle="1" w:styleId="TableNormal1">
    <w:name w:val="Table Normal1"/>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character" w:customStyle="1" w:styleId="ListParagraphChar">
    <w:name w:val="List Paragraph Char"/>
    <w:basedOn w:val="DefaultParagraphFont"/>
    <w:link w:val="ListParagraph"/>
    <w:uiPriority w:val="34"/>
    <w:rsid w:val="00CC2C38"/>
  </w:style>
  <w:style w:type="paragraph" w:customStyle="1" w:styleId="WW-NormalWeb1">
    <w:name w:val="WW-Normal (Web)1"/>
    <w:basedOn w:val="Normal"/>
    <w:rsid w:val="000312C7"/>
    <w:pPr>
      <w:spacing w:before="280" w:after="119" w:line="240" w:lineRule="auto"/>
    </w:pPr>
    <w:rPr>
      <w:rFonts w:ascii="Times New Roman" w:eastAsia="SimSun" w:hAnsi="Times New Roman" w:cs="Times New Roman"/>
      <w:sz w:val="24"/>
      <w:szCs w:val="24"/>
      <w:lang w:eastAsia="ar-SA"/>
    </w:rPr>
  </w:style>
  <w:style w:type="paragraph" w:customStyle="1" w:styleId="Text">
    <w:name w:val="Text"/>
    <w:basedOn w:val="Normal"/>
    <w:rsid w:val="00BA1D8E"/>
    <w:pPr>
      <w:widowControl w:val="0"/>
      <w:autoSpaceDE w:val="0"/>
      <w:autoSpaceDN w:val="0"/>
      <w:spacing w:after="0" w:line="252" w:lineRule="auto"/>
      <w:ind w:firstLine="202"/>
      <w:jc w:val="both"/>
    </w:pPr>
    <w:rPr>
      <w:rFonts w:ascii="Times New Roman" w:eastAsia="SimSun" w:hAnsi="Times New Roman" w:cs="Times New Roman"/>
      <w:sz w:val="20"/>
      <w:szCs w:val="20"/>
    </w:rPr>
  </w:style>
  <w:style w:type="character" w:styleId="UnresolvedMention">
    <w:name w:val="Unresolved Mention"/>
    <w:basedOn w:val="DefaultParagraphFont"/>
    <w:uiPriority w:val="99"/>
    <w:semiHidden/>
    <w:unhideWhenUsed/>
    <w:rsid w:val="009B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hterzioglu@selcu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537</Words>
  <Characters>3065</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TuRGuT</dc:creator>
  <cp:keywords/>
  <dc:description/>
  <cp:lastModifiedBy>Yusuf Eryeşil</cp:lastModifiedBy>
  <cp:revision>9</cp:revision>
  <dcterms:created xsi:type="dcterms:W3CDTF">2024-11-23T12:34:00Z</dcterms:created>
  <dcterms:modified xsi:type="dcterms:W3CDTF">2025-12-02T19:52:00Z</dcterms:modified>
</cp:coreProperties>
</file>